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960" w:lineRule="exact"/>
        <w:jc w:val="left"/>
        <w:textAlignment w:val="bottom"/>
        <w:rPr>
          <w:rFonts w:hint="eastAsia" w:ascii="黑体" w:hAnsi="黑体" w:eastAsia="黑体" w:cs="黑体"/>
          <w:color w:val="000000"/>
          <w:kern w:val="0"/>
          <w:sz w:val="28"/>
          <w:szCs w:val="28"/>
          <w:lang w:val="en-US" w:eastAsia="zh-CN"/>
        </w:rPr>
      </w:pPr>
      <w:r>
        <w:rPr>
          <w:rFonts w:hint="eastAsia" w:ascii="黑体" w:hAnsi="黑体" w:eastAsia="黑体" w:cs="黑体"/>
          <w:color w:val="000000"/>
          <w:kern w:val="0"/>
          <w:sz w:val="28"/>
          <w:szCs w:val="28"/>
          <w:lang w:val="en-US" w:eastAsia="zh-CN"/>
        </w:rPr>
        <w:t>附件</w:t>
      </w:r>
    </w:p>
    <w:p>
      <w:pPr>
        <w:overflowPunct w:val="0"/>
        <w:autoSpaceDE w:val="0"/>
        <w:autoSpaceDN w:val="0"/>
        <w:adjustRightInd w:val="0"/>
        <w:spacing w:line="960" w:lineRule="exact"/>
        <w:jc w:val="center"/>
        <w:textAlignment w:val="bottom"/>
        <w:rPr>
          <w:rFonts w:hint="eastAsia" w:ascii="黑体" w:hAnsi="黑体" w:eastAsia="黑体" w:cs="黑体"/>
          <w:color w:val="000000"/>
          <w:kern w:val="0"/>
          <w:sz w:val="44"/>
          <w:szCs w:val="44"/>
          <w:lang w:val="en-US" w:eastAsia="zh-CN"/>
        </w:rPr>
      </w:pPr>
      <w:r>
        <w:rPr>
          <w:rFonts w:hint="eastAsia" w:ascii="黑体" w:hAnsi="黑体" w:eastAsia="黑体" w:cs="黑体"/>
          <w:b/>
          <w:bCs/>
          <w:color w:val="000000"/>
          <w:sz w:val="44"/>
          <w:szCs w:val="44"/>
          <w:lang w:val="en-US" w:eastAsia="zh-CN" w:bidi="ar-SA"/>
        </w:rPr>
        <w:t>2023</w:t>
      </w:r>
      <w:r>
        <w:rPr>
          <w:rFonts w:hint="eastAsia" w:ascii="黑体" w:hAnsi="黑体" w:eastAsia="黑体" w:cs="黑体"/>
          <w:color w:val="000000"/>
          <w:kern w:val="0"/>
          <w:sz w:val="44"/>
          <w:szCs w:val="44"/>
          <w:lang w:val="en-US" w:eastAsia="zh-CN"/>
        </w:rPr>
        <w:t>年江西省青少年科学调查体验</w:t>
      </w:r>
    </w:p>
    <w:p>
      <w:pPr>
        <w:overflowPunct w:val="0"/>
        <w:autoSpaceDE w:val="0"/>
        <w:autoSpaceDN w:val="0"/>
        <w:adjustRightInd w:val="0"/>
        <w:spacing w:line="960" w:lineRule="exact"/>
        <w:jc w:val="center"/>
        <w:textAlignment w:val="bottom"/>
        <w:rPr>
          <w:rFonts w:hint="eastAsia" w:ascii="方正小标宋简体" w:hAnsi="方正小标宋简体" w:eastAsia="方正小标宋简体" w:cs="方正小标宋简体"/>
          <w:color w:val="000000"/>
          <w:kern w:val="0"/>
          <w:sz w:val="44"/>
          <w:szCs w:val="44"/>
          <w:lang w:val="en-US" w:eastAsia="zh-CN"/>
        </w:rPr>
      </w:pPr>
      <w:r>
        <w:rPr>
          <w:rFonts w:hint="eastAsia" w:ascii="黑体" w:hAnsi="黑体" w:eastAsia="黑体" w:cs="黑体"/>
          <w:color w:val="000000"/>
          <w:kern w:val="0"/>
          <w:sz w:val="44"/>
          <w:szCs w:val="44"/>
          <w:lang w:val="en-US" w:eastAsia="zh-CN"/>
        </w:rPr>
        <w:t>活动实施方案</w:t>
      </w:r>
    </w:p>
    <w:p>
      <w:pPr>
        <w:numPr>
          <w:ilvl w:val="0"/>
          <w:numId w:val="1"/>
        </w:num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主办单位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江西省科协、江西省教育厅、江西省生态环境厅、江西省文明办、共青团江西省委</w:t>
      </w:r>
    </w:p>
    <w:p>
      <w:pPr>
        <w:numPr>
          <w:ilvl w:val="0"/>
          <w:numId w:val="1"/>
        </w:num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活动目标</w:t>
      </w:r>
    </w:p>
    <w:p>
      <w:pPr>
        <w:spacing w:line="600" w:lineRule="exact"/>
        <w:ind w:firstLine="640" w:firstLineChars="200"/>
        <w:rPr>
          <w:rFonts w:ascii="黑体" w:hAnsi="黑体" w:eastAsia="黑体"/>
          <w:sz w:val="32"/>
          <w:szCs w:val="32"/>
        </w:rPr>
      </w:pPr>
      <w:r>
        <w:rPr>
          <w:rFonts w:hint="eastAsia" w:ascii="仿宋_GB2312" w:hAnsi="黑体" w:eastAsia="仿宋_GB2312"/>
          <w:sz w:val="32"/>
          <w:szCs w:val="32"/>
        </w:rPr>
        <w:t>激发青少年科学兴趣，培养青少年的创新意识、实践能力，提升科学素质，养成健康、低碳和节约生活习惯，推动校内外科学教育结合，促进青少年全面健康发展。</w:t>
      </w:r>
    </w:p>
    <w:p>
      <w:pPr>
        <w:numPr>
          <w:ilvl w:val="0"/>
          <w:numId w:val="1"/>
        </w:numPr>
        <w:spacing w:line="58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活动内容</w:t>
      </w:r>
    </w:p>
    <w:p>
      <w:pPr>
        <w:spacing w:line="600" w:lineRule="exact"/>
        <w:ind w:firstLine="640" w:firstLineChars="200"/>
        <w:rPr>
          <w:rFonts w:ascii="仿宋_GB2312" w:hAnsi="黑体" w:eastAsia="仿宋_GB2312"/>
          <w:sz w:val="32"/>
          <w:szCs w:val="32"/>
        </w:rPr>
      </w:pPr>
      <w:r>
        <w:rPr>
          <w:rFonts w:hint="eastAsia" w:ascii="仿宋_GB2312" w:eastAsia="仿宋_GB2312"/>
          <w:sz w:val="32"/>
          <w:szCs w:val="32"/>
        </w:rPr>
        <w:t>活动主要面向小学高年级及初中阶段学生，组织学生</w:t>
      </w:r>
      <w:r>
        <w:rPr>
          <w:rFonts w:hint="eastAsia" w:ascii="仿宋_GB2312" w:hAnsi="黑体" w:eastAsia="仿宋_GB2312"/>
          <w:sz w:val="32"/>
          <w:szCs w:val="32"/>
        </w:rPr>
        <w:t>围绕能源资源、生态环境、安全健康相关的1</w:t>
      </w:r>
      <w:r>
        <w:rPr>
          <w:rFonts w:ascii="仿宋_GB2312" w:hAnsi="黑体" w:eastAsia="仿宋_GB2312"/>
          <w:sz w:val="32"/>
          <w:szCs w:val="32"/>
        </w:rPr>
        <w:t>8个</w:t>
      </w:r>
      <w:r>
        <w:rPr>
          <w:rFonts w:hint="eastAsia" w:ascii="仿宋_GB2312" w:hAnsi="黑体" w:eastAsia="仿宋_GB2312"/>
          <w:sz w:val="32"/>
          <w:szCs w:val="32"/>
        </w:rPr>
        <w:t>活动</w:t>
      </w:r>
      <w:r>
        <w:rPr>
          <w:rFonts w:ascii="仿宋_GB2312" w:hAnsi="黑体" w:eastAsia="仿宋_GB2312"/>
          <w:sz w:val="32"/>
          <w:szCs w:val="32"/>
        </w:rPr>
        <w:t>主题，发现身边的科学问题，</w:t>
      </w:r>
      <w:r>
        <w:rPr>
          <w:rFonts w:hint="eastAsia" w:ascii="仿宋_GB2312" w:hAnsi="黑体" w:eastAsia="仿宋_GB2312"/>
          <w:sz w:val="32"/>
          <w:szCs w:val="32"/>
        </w:rPr>
        <w:t>动手实践，体验探究。2</w:t>
      </w:r>
      <w:r>
        <w:rPr>
          <w:rFonts w:ascii="仿宋_GB2312" w:hAnsi="黑体" w:eastAsia="仿宋_GB2312"/>
          <w:sz w:val="32"/>
          <w:szCs w:val="32"/>
        </w:rPr>
        <w:t>023年</w:t>
      </w:r>
      <w:r>
        <w:rPr>
          <w:rFonts w:hint="eastAsia" w:ascii="仿宋_GB2312" w:hAnsi="黑体" w:eastAsia="仿宋_GB2312"/>
          <w:sz w:val="32"/>
          <w:szCs w:val="32"/>
        </w:rPr>
        <w:t>活动重点围绕“低碳生活”“节约粮食”“爱护我们的眼睛”“北斗领航梦想”四个主题组织研究学习实践，主要包括：</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（一）组建学生小组，在</w:t>
      </w:r>
      <w:r>
        <w:rPr>
          <w:rFonts w:ascii="仿宋_GB2312" w:hAnsi="黑体" w:eastAsia="仿宋_GB2312"/>
          <w:sz w:val="32"/>
          <w:szCs w:val="32"/>
        </w:rPr>
        <w:t>教师指导下</w:t>
      </w:r>
      <w:r>
        <w:rPr>
          <w:rFonts w:hint="eastAsia" w:ascii="仿宋_GB2312" w:hAnsi="黑体" w:eastAsia="仿宋_GB2312"/>
          <w:sz w:val="32"/>
          <w:szCs w:val="32"/>
        </w:rPr>
        <w:t>选择不同主题开展学习，了解相关科学知识和研究方法；</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（二）在学校、家庭、校外开展科学调查实践活动，收集整理数据和资料，完成调查实践报告；</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（三）在班级、年级或学校交流活动成果，总结评价，在家庭、社区进行低碳节约等主题宣传；</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（四）通过活动网站提交调查实践报告。</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、参与方式</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学校通过活动官网（</w:t>
      </w:r>
      <w:r>
        <w:rPr>
          <w:rFonts w:ascii="Times New Roman" w:hAnsi="Times New Roman" w:eastAsia="仿宋_GB2312"/>
          <w:sz w:val="32"/>
          <w:szCs w:val="32"/>
        </w:rPr>
        <w:t>www.scienceday.org.cn）</w:t>
      </w:r>
      <w:r>
        <w:rPr>
          <w:rFonts w:hint="eastAsia" w:ascii="仿宋_GB2312" w:hAnsi="黑体" w:eastAsia="仿宋_GB2312"/>
          <w:sz w:val="32"/>
          <w:szCs w:val="32"/>
        </w:rPr>
        <w:t>注册报名，组织</w:t>
      </w:r>
      <w:r>
        <w:rPr>
          <w:rFonts w:hint="eastAsia" w:ascii="仿宋_GB2312" w:eastAsia="仿宋_GB2312"/>
          <w:sz w:val="32"/>
          <w:szCs w:val="32"/>
        </w:rPr>
        <w:t>学生以小组形式开展活动，并</w:t>
      </w:r>
      <w:r>
        <w:rPr>
          <w:rFonts w:hint="eastAsia" w:ascii="仿宋_GB2312" w:hAnsi="黑体" w:eastAsia="仿宋_GB2312"/>
          <w:sz w:val="32"/>
          <w:szCs w:val="32"/>
        </w:rPr>
        <w:t>根据学生综合表现推荐优秀科学调查活动小组。通过活动官网可了解更多活动信息，包括获取电子版活动指南，参与线上教师交流培训活动等。主办单位将为参与学生较多的学校和农村地区中小学提供辅助开展活动的资源包和活动指南。</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、实施步骤</w:t>
      </w:r>
    </w:p>
    <w:p>
      <w:pPr>
        <w:spacing w:line="600" w:lineRule="exact"/>
        <w:ind w:firstLine="640" w:firstLineChars="200"/>
        <w:rPr>
          <w:rFonts w:hint="eastAsia" w:ascii="仿宋_GB2312" w:hAnsi="黑体" w:eastAsia="仿宋_GB2312"/>
          <w:sz w:val="32"/>
          <w:szCs w:val="32"/>
        </w:rPr>
      </w:pPr>
      <w:r>
        <w:rPr>
          <w:rFonts w:ascii="仿宋_GB2312" w:hAnsi="黑体" w:eastAsia="仿宋_GB2312"/>
          <w:sz w:val="32"/>
          <w:szCs w:val="32"/>
        </w:rPr>
        <w:t>7-</w:t>
      </w:r>
      <w:r>
        <w:rPr>
          <w:rFonts w:hint="eastAsia" w:ascii="仿宋_GB2312" w:hAnsi="黑体" w:eastAsia="仿宋_GB2312"/>
          <w:sz w:val="32"/>
          <w:szCs w:val="32"/>
          <w:lang w:val="en-US" w:eastAsia="zh-CN"/>
        </w:rPr>
        <w:t>8</w:t>
      </w:r>
      <w:r>
        <w:rPr>
          <w:rFonts w:ascii="仿宋_GB2312" w:hAnsi="黑体" w:eastAsia="仿宋_GB2312"/>
          <w:sz w:val="32"/>
          <w:szCs w:val="32"/>
        </w:rPr>
        <w:t>月，各</w:t>
      </w:r>
      <w:r>
        <w:rPr>
          <w:rFonts w:hint="eastAsia" w:ascii="仿宋_GB2312" w:hAnsi="黑体" w:eastAsia="仿宋_GB2312"/>
          <w:sz w:val="32"/>
          <w:szCs w:val="32"/>
          <w:lang w:val="en-US" w:eastAsia="zh-CN"/>
        </w:rPr>
        <w:t>市</w:t>
      </w:r>
      <w:r>
        <w:rPr>
          <w:rFonts w:ascii="仿宋_GB2312" w:hAnsi="黑体" w:eastAsia="仿宋_GB2312"/>
          <w:sz w:val="32"/>
          <w:szCs w:val="32"/>
        </w:rPr>
        <w:t>级组织机构进行活动宣传，组织动员学校网上注册参与活动；</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ascii="仿宋_GB2312" w:hAnsi="黑体" w:eastAsia="仿宋_GB2312"/>
          <w:sz w:val="32"/>
          <w:szCs w:val="32"/>
        </w:rPr>
        <w:t>9</w:t>
      </w:r>
      <w:r>
        <w:rPr>
          <w:rFonts w:hint="eastAsia" w:ascii="仿宋_GB2312" w:hAnsi="黑体" w:eastAsia="仿宋_GB2312"/>
          <w:sz w:val="32"/>
          <w:szCs w:val="32"/>
        </w:rPr>
        <w:t>月，主办单位为学校提供资源包；</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ascii="仿宋_GB2312" w:hAnsi="黑体" w:eastAsia="仿宋_GB2312"/>
          <w:sz w:val="32"/>
          <w:szCs w:val="32"/>
        </w:rPr>
        <w:t>11月</w:t>
      </w:r>
      <w:r>
        <w:rPr>
          <w:rFonts w:hint="eastAsia" w:ascii="仿宋_GB2312" w:hAnsi="黑体" w:eastAsia="仿宋_GB2312"/>
          <w:sz w:val="32"/>
          <w:szCs w:val="32"/>
        </w:rPr>
        <w:t>，学校组织学生小组自选活动主题，参照活动指南开展活动；</w:t>
      </w:r>
      <w:r>
        <w:rPr>
          <w:rFonts w:ascii="仿宋_GB2312" w:hAnsi="黑体" w:eastAsia="仿宋_GB2312"/>
          <w:sz w:val="32"/>
          <w:szCs w:val="32"/>
        </w:rPr>
        <w:t xml:space="preserve"> </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1月30日前</w:t>
      </w:r>
      <w:r>
        <w:rPr>
          <w:rFonts w:hint="eastAsia" w:ascii="仿宋_GB2312" w:hAnsi="黑体" w:eastAsia="仿宋_GB2312"/>
          <w:sz w:val="32"/>
          <w:szCs w:val="32"/>
        </w:rPr>
        <w:t>，学生小组、辅导教师提交活动报告，学校推荐优秀科学调查活动小组；</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12月31</w:t>
      </w:r>
      <w:r>
        <w:rPr>
          <w:rFonts w:hint="eastAsia" w:ascii="仿宋_GB2312" w:hAnsi="黑体" w:eastAsia="仿宋_GB2312"/>
          <w:sz w:val="32"/>
          <w:szCs w:val="32"/>
        </w:rPr>
        <w:t>日前，各省级组织机构推荐优秀学校、学生小组、教师活动报告、组织工作者。</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、工作要求</w:t>
      </w:r>
    </w:p>
    <w:p>
      <w:pPr>
        <w:spacing w:line="60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（一）加强组织动员，拓展活动覆盖面</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各级组织机构要将活动作为“在教育</w:t>
      </w:r>
      <w:r>
        <w:rPr>
          <w:rFonts w:hint="eastAsia" w:ascii="仿宋_GB2312" w:hAnsi="仿宋_GB2312" w:eastAsia="仿宋_GB2312" w:cs="仿宋_GB2312"/>
          <w:sz w:val="32"/>
          <w:szCs w:val="32"/>
        </w:rPr>
        <w:t>‘</w:t>
      </w:r>
      <w:r>
        <w:rPr>
          <w:rFonts w:hint="eastAsia" w:ascii="仿宋_GB2312" w:hAnsi="黑体" w:eastAsia="仿宋_GB2312"/>
          <w:sz w:val="32"/>
          <w:szCs w:val="32"/>
        </w:rPr>
        <w:t>双减</w:t>
      </w:r>
      <w:r>
        <w:rPr>
          <w:rFonts w:hint="eastAsia" w:ascii="仿宋_GB2312" w:hAnsi="仿宋_GB2312" w:eastAsia="仿宋_GB2312" w:cs="仿宋_GB2312"/>
          <w:sz w:val="32"/>
          <w:szCs w:val="32"/>
        </w:rPr>
        <w:t>’</w:t>
      </w:r>
      <w:r>
        <w:rPr>
          <w:rFonts w:hint="eastAsia" w:ascii="仿宋_GB2312" w:hAnsi="黑体" w:eastAsia="仿宋_GB2312"/>
          <w:sz w:val="32"/>
          <w:szCs w:val="32"/>
        </w:rPr>
        <w:t>中做好科学教育加法”重要载体，加强领导和组织动员，加大投入，广泛发动中小学和科技馆、科普教育基地、中小学研学实践教育基地、少先队校外实践教育营地（基地）、环保设施开放单位、青少年活动中心、青少年宫等校外教育场所积极参加，丰富活动内容和形式。推动将活动纳入中小学班团队课、综合实践活动课程、研学活动、课后服务的重要内容，与“美丽中国，我是行动者”“美丽中国·青春行动”等各类科普活动融合开展。</w:t>
      </w:r>
    </w:p>
    <w:p>
      <w:pPr>
        <w:spacing w:line="60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（二）助推乡村教育，服务乡村振兴</w:t>
      </w:r>
    </w:p>
    <w:p>
      <w:pPr>
        <w:spacing w:line="600" w:lineRule="exact"/>
        <w:ind w:firstLine="616" w:firstLineChars="200"/>
        <w:rPr>
          <w:rFonts w:hint="eastAsia" w:ascii="仿宋_GB2312" w:hAnsi="黑体" w:eastAsia="仿宋_GB2312"/>
          <w:spacing w:val="-6"/>
          <w:sz w:val="32"/>
          <w:szCs w:val="32"/>
        </w:rPr>
      </w:pPr>
      <w:r>
        <w:rPr>
          <w:rFonts w:hint="eastAsia" w:ascii="仿宋_GB2312" w:hAnsi="黑体" w:eastAsia="仿宋_GB2312"/>
          <w:spacing w:val="-6"/>
          <w:sz w:val="32"/>
          <w:szCs w:val="32"/>
        </w:rPr>
        <w:t>各级组织机构要加大活动资源向农村中小学和校外教育场所倾斜力度，积极开展“科技教育乡村行”“圆梦工程”——农村未成年人思想道德建设志愿服务，组织农村中小学、农村中学科技馆等积极参与，推动活动在偏远农村和少数民族地区的普及。</w:t>
      </w:r>
    </w:p>
    <w:p>
      <w:pPr>
        <w:spacing w:line="600" w:lineRule="exact"/>
        <w:ind w:firstLine="640" w:firstLineChars="200"/>
        <w:rPr>
          <w:rFonts w:ascii="仿宋_GB2312" w:hAnsi="黑体" w:eastAsia="仿宋_GB2312"/>
          <w:sz w:val="32"/>
          <w:szCs w:val="32"/>
        </w:rPr>
      </w:pPr>
      <w:r>
        <w:rPr>
          <w:rFonts w:hint="eastAsia" w:ascii="楷体_GB2312" w:hAnsi="黑体" w:eastAsia="楷体_GB2312"/>
          <w:sz w:val="32"/>
          <w:szCs w:val="32"/>
        </w:rPr>
        <w:t>（三）精心组织实施，确保活动取得实效</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在活动组织实施中，中小学校和校外场所要强化价值引领，注重培养青少年热爱祖国、崇尚科学和关心社会的意识。用好活动指南和资源包，指导青少年在活动中增强探究能力，学习科学研究的方法，提升实践能力。要做好安全防范，确保活动安全有序，保证师生人身安全。加强科学教师和组织工作者培训交流，不断提升活动的组织水平，提升活动效果。</w:t>
      </w:r>
    </w:p>
    <w:p>
      <w:pPr>
        <w:spacing w:line="60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（四）加强宣传推广，扩大活动影响</w:t>
      </w:r>
    </w:p>
    <w:p>
      <w:pPr>
        <w:spacing w:line="600" w:lineRule="exact"/>
        <w:ind w:firstLine="640" w:firstLineChars="200"/>
        <w:rPr>
          <w:rFonts w:hint="eastAsia" w:ascii="仿宋_GB2312" w:hAnsi="黑体" w:eastAsia="仿宋_GB2312"/>
          <w:sz w:val="32"/>
          <w:szCs w:val="32"/>
        </w:rPr>
      </w:pPr>
      <w:r>
        <w:rPr>
          <w:rFonts w:ascii="仿宋_GB2312" w:hAnsi="黑体" w:eastAsia="仿宋_GB2312"/>
          <w:sz w:val="32"/>
          <w:szCs w:val="32"/>
        </w:rPr>
        <w:t>各级</w:t>
      </w:r>
      <w:r>
        <w:rPr>
          <w:rFonts w:hint="eastAsia" w:ascii="仿宋_GB2312" w:hAnsi="黑体" w:eastAsia="仿宋_GB2312"/>
          <w:sz w:val="32"/>
          <w:szCs w:val="32"/>
        </w:rPr>
        <w:t>组织机构</w:t>
      </w:r>
      <w:r>
        <w:rPr>
          <w:rFonts w:ascii="仿宋_GB2312" w:hAnsi="黑体" w:eastAsia="仿宋_GB2312"/>
          <w:sz w:val="32"/>
          <w:szCs w:val="32"/>
        </w:rPr>
        <w:t>要通过报刊、广播、电视、网络等</w:t>
      </w:r>
      <w:r>
        <w:rPr>
          <w:rFonts w:hint="eastAsia" w:ascii="仿宋_GB2312" w:hAnsi="黑体" w:eastAsia="仿宋_GB2312"/>
          <w:sz w:val="32"/>
          <w:szCs w:val="32"/>
        </w:rPr>
        <w:t>主流媒体</w:t>
      </w:r>
      <w:r>
        <w:rPr>
          <w:rFonts w:ascii="仿宋_GB2312" w:hAnsi="黑体" w:eastAsia="仿宋_GB2312"/>
          <w:sz w:val="32"/>
          <w:szCs w:val="32"/>
        </w:rPr>
        <w:t>，广泛宣传报道活动的特色和亮点</w:t>
      </w:r>
      <w:r>
        <w:rPr>
          <w:rFonts w:hint="eastAsia" w:ascii="仿宋_GB2312" w:hAnsi="黑体" w:eastAsia="仿宋_GB2312"/>
          <w:sz w:val="32"/>
          <w:szCs w:val="32"/>
        </w:rPr>
        <w:t>。</w:t>
      </w:r>
      <w:r>
        <w:rPr>
          <w:rFonts w:ascii="仿宋_GB2312" w:hAnsi="黑体" w:eastAsia="仿宋_GB2312"/>
          <w:sz w:val="32"/>
          <w:szCs w:val="32"/>
        </w:rPr>
        <w:t>要</w:t>
      </w:r>
      <w:r>
        <w:rPr>
          <w:rFonts w:hint="eastAsia" w:ascii="仿宋_GB2312" w:hAnsi="黑体" w:eastAsia="仿宋_GB2312"/>
          <w:sz w:val="32"/>
          <w:szCs w:val="32"/>
        </w:rPr>
        <w:t>通过优秀活动成果展示、经验交流等多种形式</w:t>
      </w:r>
      <w:r>
        <w:rPr>
          <w:rFonts w:ascii="仿宋_GB2312" w:hAnsi="黑体" w:eastAsia="仿宋_GB2312"/>
          <w:sz w:val="32"/>
          <w:szCs w:val="32"/>
        </w:rPr>
        <w:t>，发挥活动的示范引领作用</w:t>
      </w:r>
      <w:r>
        <w:rPr>
          <w:rFonts w:hint="eastAsia" w:ascii="仿宋_GB2312" w:hAnsi="黑体" w:eastAsia="仿宋_GB2312"/>
          <w:sz w:val="32"/>
          <w:szCs w:val="32"/>
        </w:rPr>
        <w:t>，扩大活动的社会影响力</w:t>
      </w:r>
      <w:r>
        <w:rPr>
          <w:rFonts w:ascii="仿宋_GB2312" w:hAnsi="黑体" w:eastAsia="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七</w:t>
      </w:r>
      <w:bookmarkStart w:id="0" w:name="_GoBack"/>
      <w:bookmarkEnd w:id="0"/>
      <w:r>
        <w:rPr>
          <w:rFonts w:hint="eastAsia" w:ascii="黑体" w:hAnsi="黑体" w:eastAsia="黑体"/>
          <w:sz w:val="32"/>
          <w:szCs w:val="32"/>
        </w:rPr>
        <w:t>、联系方式</w:t>
      </w:r>
    </w:p>
    <w:p>
      <w:pPr>
        <w:spacing w:line="580" w:lineRule="exact"/>
        <w:ind w:firstLine="640" w:firstLineChars="200"/>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江西省科学技术馆（江西省青少年科技中心）</w:t>
      </w:r>
    </w:p>
    <w:p>
      <w:pPr>
        <w:spacing w:line="580" w:lineRule="exact"/>
        <w:ind w:firstLine="640" w:firstLineChars="200"/>
        <w:rPr>
          <w:rFonts w:hint="default"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联系人：简怡斐</w:t>
      </w:r>
    </w:p>
    <w:p>
      <w:pPr>
        <w:spacing w:line="580" w:lineRule="exact"/>
        <w:ind w:firstLine="640" w:firstLineChars="200"/>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rPr>
        <w:t>联系电话：</w:t>
      </w:r>
      <w:r>
        <w:rPr>
          <w:rFonts w:hint="default" w:ascii="Times New Roman" w:hAnsi="Times New Roman" w:eastAsia="仿宋_GB2312" w:cs="Times New Roman"/>
          <w:color w:val="000000"/>
          <w:sz w:val="32"/>
          <w:szCs w:val="32"/>
          <w:lang w:val="en-US" w:eastAsia="zh-CN"/>
        </w:rPr>
        <w:t xml:space="preserve">0791-86500371 </w:t>
      </w:r>
      <w:r>
        <w:rPr>
          <w:rFonts w:hint="eastAsia" w:ascii="仿宋_GB2312" w:hAnsi="黑体" w:eastAsia="仿宋_GB2312"/>
          <w:color w:val="000000"/>
          <w:sz w:val="32"/>
          <w:szCs w:val="32"/>
          <w:lang w:val="en-US" w:eastAsia="zh-CN"/>
        </w:rPr>
        <w:t xml:space="preserve">     </w:t>
      </w:r>
    </w:p>
    <w:p>
      <w:pPr>
        <w:spacing w:line="58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仿宋_GB2312" w:hAnsi="黑体" w:eastAsia="仿宋_GB2312"/>
          <w:color w:val="000000"/>
          <w:sz w:val="32"/>
          <w:szCs w:val="32"/>
          <w:lang w:val="en-US" w:eastAsia="zh-CN"/>
        </w:rPr>
        <w:t>邮箱：cxjyk66@126.com</w:t>
      </w:r>
    </w:p>
    <w:p>
      <w:pPr>
        <w:pStyle w:val="6"/>
        <w:rPr>
          <w:rFonts w:hint="eastAsia" w:ascii="仿宋" w:hAnsi="仿宋" w:eastAsia="仿宋" w:cs="仿宋"/>
          <w:color w:val="000000"/>
          <w:sz w:val="32"/>
          <w:szCs w:val="32"/>
        </w:rPr>
      </w:pPr>
    </w:p>
    <w:sectPr>
      <w:pgSz w:w="11906" w:h="16838"/>
      <w:pgMar w:top="2098" w:right="1474" w:bottom="992" w:left="1587" w:header="709"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00AA2"/>
    <w:multiLevelType w:val="singleLevel"/>
    <w:tmpl w:val="2DD00A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mZkMzlkMWY4YjFlNzU5ZGI1N2EyOTRjNDYwMDkzMDEifQ=="/>
  </w:docVars>
  <w:rsids>
    <w:rsidRoot w:val="00D31D50"/>
    <w:rsid w:val="00051C17"/>
    <w:rsid w:val="000E277A"/>
    <w:rsid w:val="000F36A1"/>
    <w:rsid w:val="00217490"/>
    <w:rsid w:val="00291F5F"/>
    <w:rsid w:val="003048EC"/>
    <w:rsid w:val="00323B43"/>
    <w:rsid w:val="00335B10"/>
    <w:rsid w:val="003D37D8"/>
    <w:rsid w:val="00426133"/>
    <w:rsid w:val="004358AB"/>
    <w:rsid w:val="004427B1"/>
    <w:rsid w:val="00495E41"/>
    <w:rsid w:val="00591DD3"/>
    <w:rsid w:val="005B2A19"/>
    <w:rsid w:val="005B3D67"/>
    <w:rsid w:val="0065349C"/>
    <w:rsid w:val="00653DB2"/>
    <w:rsid w:val="00762DB4"/>
    <w:rsid w:val="007C5D2B"/>
    <w:rsid w:val="00867EAF"/>
    <w:rsid w:val="008B7726"/>
    <w:rsid w:val="00905985"/>
    <w:rsid w:val="00A12D13"/>
    <w:rsid w:val="00AC2BEB"/>
    <w:rsid w:val="00B02F51"/>
    <w:rsid w:val="00C3695E"/>
    <w:rsid w:val="00CA2488"/>
    <w:rsid w:val="00D31D50"/>
    <w:rsid w:val="00D66DAE"/>
    <w:rsid w:val="00F53F98"/>
    <w:rsid w:val="00FF3180"/>
    <w:rsid w:val="012D6F3F"/>
    <w:rsid w:val="05FE23E4"/>
    <w:rsid w:val="06695AAF"/>
    <w:rsid w:val="07272FDE"/>
    <w:rsid w:val="08944320"/>
    <w:rsid w:val="0B4B60CB"/>
    <w:rsid w:val="0E3D67D6"/>
    <w:rsid w:val="13704B73"/>
    <w:rsid w:val="17494CC2"/>
    <w:rsid w:val="17886A3A"/>
    <w:rsid w:val="18253800"/>
    <w:rsid w:val="18D116D2"/>
    <w:rsid w:val="1E707ECB"/>
    <w:rsid w:val="22192627"/>
    <w:rsid w:val="22D622C7"/>
    <w:rsid w:val="24541871"/>
    <w:rsid w:val="29883BEF"/>
    <w:rsid w:val="2EE23DA1"/>
    <w:rsid w:val="36401AD9"/>
    <w:rsid w:val="3A0A45C9"/>
    <w:rsid w:val="406C796F"/>
    <w:rsid w:val="40C357E1"/>
    <w:rsid w:val="4A421E6C"/>
    <w:rsid w:val="4D301F08"/>
    <w:rsid w:val="4E04568A"/>
    <w:rsid w:val="5AC10644"/>
    <w:rsid w:val="5D011713"/>
    <w:rsid w:val="5D2378DB"/>
    <w:rsid w:val="5D7D518D"/>
    <w:rsid w:val="62D83D51"/>
    <w:rsid w:val="68CB61CB"/>
    <w:rsid w:val="744E07DE"/>
    <w:rsid w:val="78A3200D"/>
    <w:rsid w:val="78B83176"/>
    <w:rsid w:val="7D796C4C"/>
    <w:rsid w:val="7EC9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12"/>
    <w:qFormat/>
    <w:uiPriority w:val="9"/>
    <w:pPr>
      <w:adjustRightInd/>
      <w:snapToGrid/>
      <w:spacing w:before="100" w:beforeAutospacing="1" w:after="100" w:afterAutospacing="1"/>
      <w:outlineLvl w:val="2"/>
    </w:pPr>
    <w:rPr>
      <w:rFonts w:ascii="宋体" w:hAnsi="宋体" w:eastAsia="宋体" w:cs="宋体"/>
      <w:b/>
      <w:bCs/>
      <w:sz w:val="27"/>
      <w:szCs w:val="27"/>
    </w:rPr>
  </w:style>
  <w:style w:type="paragraph" w:styleId="3">
    <w:name w:val="heading 5"/>
    <w:basedOn w:val="1"/>
    <w:next w:val="1"/>
    <w:link w:val="13"/>
    <w:unhideWhenUsed/>
    <w:qFormat/>
    <w:uiPriority w:val="9"/>
    <w:pPr>
      <w:keepNext/>
      <w:keepLines/>
      <w:spacing w:before="280" w:after="290" w:line="376" w:lineRule="auto"/>
      <w:outlineLvl w:val="4"/>
    </w:pPr>
    <w:rPr>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semiHidden/>
    <w:unhideWhenUsed/>
    <w:qFormat/>
    <w:uiPriority w:val="99"/>
    <w:pPr>
      <w:tabs>
        <w:tab w:val="center" w:pos="4153"/>
        <w:tab w:val="right" w:pos="8306"/>
      </w:tabs>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semiHidden/>
    <w:unhideWhenUsed/>
    <w:qFormat/>
    <w:uiPriority w:val="99"/>
    <w:rPr>
      <w:color w:val="0000FF"/>
      <w:u w:val="single"/>
    </w:rPr>
  </w:style>
  <w:style w:type="character" w:customStyle="1" w:styleId="12">
    <w:name w:val="标题 3 Char"/>
    <w:basedOn w:val="8"/>
    <w:link w:val="2"/>
    <w:qFormat/>
    <w:uiPriority w:val="9"/>
    <w:rPr>
      <w:rFonts w:ascii="宋体" w:hAnsi="宋体" w:eastAsia="宋体" w:cs="宋体"/>
      <w:b/>
      <w:bCs/>
      <w:sz w:val="27"/>
      <w:szCs w:val="27"/>
    </w:rPr>
  </w:style>
  <w:style w:type="character" w:customStyle="1" w:styleId="13">
    <w:name w:val="标题 5 Char"/>
    <w:basedOn w:val="8"/>
    <w:link w:val="3"/>
    <w:qFormat/>
    <w:uiPriority w:val="9"/>
    <w:rPr>
      <w:rFonts w:ascii="Tahoma" w:hAnsi="Tahoma"/>
      <w:b/>
      <w:bCs/>
      <w:sz w:val="28"/>
      <w:szCs w:val="28"/>
    </w:rPr>
  </w:style>
  <w:style w:type="character" w:customStyle="1" w:styleId="14">
    <w:name w:val="页眉 Char"/>
    <w:basedOn w:val="8"/>
    <w:link w:val="5"/>
    <w:semiHidden/>
    <w:qFormat/>
    <w:uiPriority w:val="99"/>
    <w:rPr>
      <w:rFonts w:ascii="Tahoma" w:hAnsi="Tahoma"/>
      <w:sz w:val="18"/>
      <w:szCs w:val="18"/>
    </w:rPr>
  </w:style>
  <w:style w:type="character" w:customStyle="1" w:styleId="15">
    <w:name w:val="页脚 Char"/>
    <w:basedOn w:val="8"/>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1733</Words>
  <Characters>1819</Characters>
  <Lines>3</Lines>
  <Paragraphs>1</Paragraphs>
  <TotalTime>23</TotalTime>
  <ScaleCrop>false</ScaleCrop>
  <LinksUpToDate>false</LinksUpToDate>
  <CharactersWithSpaces>1886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不噜不噜卡卡</cp:lastModifiedBy>
  <cp:lastPrinted>2023-07-12T06:28:00Z</cp:lastPrinted>
  <dcterms:modified xsi:type="dcterms:W3CDTF">2023-08-04T08:37:56Z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24B242E65D6F48148D5225F951F709F8</vt:lpwstr>
  </property>
</Properties>
</file>