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ascii="小标宋" w:eastAsia="小标宋"/>
          <w:sz w:val="44"/>
          <w:szCs w:val="44"/>
        </w:rPr>
      </w:pPr>
      <w:r>
        <w:rPr>
          <w:rFonts w:hint="eastAsia" w:ascii="黑体" w:hAnsi="黑体" w:eastAsia="黑体" w:cs="黑体"/>
          <w:sz w:val="33"/>
          <w:szCs w:val="33"/>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小标宋" w:eastAsia="小标宋"/>
          <w:sz w:val="44"/>
          <w:szCs w:val="44"/>
        </w:rPr>
      </w:pPr>
      <w:r>
        <w:rPr>
          <w:rFonts w:ascii="小标宋" w:eastAsia="小标宋"/>
          <w:sz w:val="44"/>
          <w:szCs w:val="44"/>
        </w:rPr>
        <w:t>20</w:t>
      </w:r>
      <w:r>
        <w:rPr>
          <w:rFonts w:hint="eastAsia" w:ascii="小标宋" w:eastAsia="小标宋"/>
          <w:sz w:val="44"/>
          <w:szCs w:val="44"/>
          <w:lang w:val="en-US" w:eastAsia="zh-CN"/>
        </w:rPr>
        <w:t>21年</w:t>
      </w:r>
      <w:r>
        <w:rPr>
          <w:rFonts w:hint="eastAsia" w:ascii="小标宋" w:eastAsia="小标宋"/>
          <w:sz w:val="44"/>
          <w:szCs w:val="44"/>
        </w:rPr>
        <w:t>吉林省青少年科技辅导员</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小标宋" w:eastAsia="小标宋"/>
          <w:sz w:val="44"/>
          <w:szCs w:val="44"/>
        </w:rPr>
      </w:pPr>
      <w:r>
        <w:rPr>
          <w:rFonts w:hint="eastAsia" w:ascii="小标宋" w:eastAsia="小标宋"/>
          <w:sz w:val="44"/>
          <w:szCs w:val="44"/>
        </w:rPr>
        <w:t>中级专业水平认证实施细则（试行）</w:t>
      </w:r>
    </w:p>
    <w:p>
      <w:pPr>
        <w:spacing w:line="576" w:lineRule="exact"/>
        <w:rPr>
          <w:rFonts w:ascii="仿宋_GB2312" w:eastAsia="仿宋_GB2312"/>
          <w:sz w:val="33"/>
          <w:szCs w:val="33"/>
        </w:rPr>
      </w:pP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为客观、公正、科学地评价青少年科技辅导员的专业能力和水平，严格按照规定的条件、办法和程序，开展辅导员专业水平认证；并通过认证管理引导激励广大青少年科技辅导员进一步提高专业能力，促进辅导员队伍的扩大，依据《青少年科技辅导员专业标准（试行）》和《青少年科技辅导员专业水平认证办法（试行）》，制定本实施细则。</w:t>
      </w:r>
    </w:p>
    <w:p>
      <w:pPr>
        <w:keepNext w:val="0"/>
        <w:keepLines w:val="0"/>
        <w:pageBreakBefore w:val="0"/>
        <w:widowControl/>
        <w:kinsoku/>
        <w:wordWrap/>
        <w:overflowPunct/>
        <w:topLinePunct w:val="0"/>
        <w:autoSpaceDE/>
        <w:autoSpaceDN/>
        <w:bidi w:val="0"/>
        <w:adjustRightInd/>
        <w:snapToGrid w:val="0"/>
        <w:spacing w:line="576" w:lineRule="exact"/>
        <w:ind w:firstLine="660" w:firstLineChars="200"/>
        <w:textAlignment w:val="auto"/>
        <w:rPr>
          <w:rFonts w:hint="eastAsia" w:ascii="仿宋" w:hAnsi="仿宋" w:eastAsia="仿宋" w:cs="仿宋"/>
          <w:sz w:val="33"/>
          <w:szCs w:val="33"/>
        </w:rPr>
      </w:pPr>
      <w:r>
        <w:rPr>
          <w:rFonts w:hint="eastAsia" w:ascii="黑体" w:hAnsi="黑体" w:eastAsia="黑体" w:cs="黑体"/>
          <w:sz w:val="33"/>
          <w:szCs w:val="33"/>
        </w:rPr>
        <w:t>第一条 认证组织管理</w:t>
      </w:r>
    </w:p>
    <w:p>
      <w:pPr>
        <w:keepNext w:val="0"/>
        <w:keepLines w:val="0"/>
        <w:pageBreakBefore w:val="0"/>
        <w:widowControl/>
        <w:kinsoku/>
        <w:wordWrap/>
        <w:overflowPunct/>
        <w:topLinePunct w:val="0"/>
        <w:autoSpaceDE/>
        <w:autoSpaceDN/>
        <w:bidi w:val="0"/>
        <w:adjustRightInd/>
        <w:snapToGrid w:val="0"/>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吉林省中级青少年科技辅导员专业水平认证组织工作由吉林省青少年科技</w:t>
      </w:r>
      <w:r>
        <w:rPr>
          <w:rFonts w:hint="eastAsia" w:ascii="仿宋" w:hAnsi="仿宋" w:eastAsia="仿宋" w:cs="仿宋"/>
          <w:sz w:val="33"/>
          <w:szCs w:val="33"/>
          <w:lang w:eastAsia="zh-CN"/>
        </w:rPr>
        <w:t>教育</w:t>
      </w:r>
      <w:r>
        <w:rPr>
          <w:rFonts w:hint="eastAsia" w:ascii="仿宋" w:hAnsi="仿宋" w:eastAsia="仿宋" w:cs="仿宋"/>
          <w:sz w:val="33"/>
          <w:szCs w:val="33"/>
        </w:rPr>
        <w:t>协会秘书处负责，评审工作由科技辅导员专业水平认证评审专家委员会负责，认证监督委员会负责监督认证过程的公平公正。</w:t>
      </w:r>
    </w:p>
    <w:p>
      <w:pPr>
        <w:keepNext w:val="0"/>
        <w:keepLines w:val="0"/>
        <w:pageBreakBefore w:val="0"/>
        <w:widowControl/>
        <w:kinsoku/>
        <w:wordWrap/>
        <w:overflowPunct/>
        <w:topLinePunct w:val="0"/>
        <w:autoSpaceDE/>
        <w:autoSpaceDN/>
        <w:bidi w:val="0"/>
        <w:adjustRightInd/>
        <w:snapToGrid w:val="0"/>
        <w:spacing w:line="576" w:lineRule="exact"/>
        <w:ind w:firstLine="660" w:firstLineChars="200"/>
        <w:textAlignment w:val="auto"/>
        <w:rPr>
          <w:rFonts w:hint="eastAsia" w:ascii="仿宋" w:hAnsi="仿宋" w:eastAsia="仿宋" w:cs="仿宋"/>
          <w:sz w:val="33"/>
          <w:szCs w:val="33"/>
        </w:rPr>
      </w:pPr>
      <w:r>
        <w:rPr>
          <w:rFonts w:hint="eastAsia" w:ascii="楷体_GB2312" w:hAnsi="楷体_GB2312" w:eastAsia="楷体_GB2312" w:cs="楷体_GB2312"/>
          <w:sz w:val="33"/>
          <w:szCs w:val="33"/>
        </w:rPr>
        <w:t>1.</w:t>
      </w:r>
      <w:r>
        <w:rPr>
          <w:rFonts w:hint="eastAsia" w:ascii="楷体_GB2312" w:hAnsi="楷体_GB2312" w:eastAsia="楷体_GB2312" w:cs="楷体_GB2312"/>
          <w:sz w:val="33"/>
          <w:szCs w:val="33"/>
          <w:lang w:val="en-US" w:eastAsia="zh-CN"/>
        </w:rPr>
        <w:t xml:space="preserve"> </w:t>
      </w:r>
      <w:r>
        <w:rPr>
          <w:rFonts w:hint="eastAsia" w:ascii="楷体_GB2312" w:hAnsi="楷体_GB2312" w:eastAsia="楷体_GB2312" w:cs="楷体_GB2312"/>
          <w:sz w:val="33"/>
          <w:szCs w:val="33"/>
        </w:rPr>
        <w:t>评审专家委员会</w:t>
      </w:r>
    </w:p>
    <w:p>
      <w:pPr>
        <w:keepNext w:val="0"/>
        <w:keepLines w:val="0"/>
        <w:pageBreakBefore w:val="0"/>
        <w:widowControl/>
        <w:kinsoku/>
        <w:wordWrap/>
        <w:overflowPunct/>
        <w:topLinePunct w:val="0"/>
        <w:autoSpaceDE/>
        <w:autoSpaceDN/>
        <w:bidi w:val="0"/>
        <w:adjustRightInd/>
        <w:snapToGrid w:val="0"/>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由吉林省青少年科技</w:t>
      </w:r>
      <w:r>
        <w:rPr>
          <w:rFonts w:hint="eastAsia" w:ascii="仿宋" w:hAnsi="仿宋" w:eastAsia="仿宋" w:cs="仿宋"/>
          <w:sz w:val="33"/>
          <w:szCs w:val="33"/>
          <w:lang w:eastAsia="zh-CN"/>
        </w:rPr>
        <w:t>教育</w:t>
      </w:r>
      <w:r>
        <w:rPr>
          <w:rFonts w:hint="eastAsia" w:ascii="仿宋" w:hAnsi="仿宋" w:eastAsia="仿宋" w:cs="仿宋"/>
          <w:sz w:val="33"/>
          <w:szCs w:val="33"/>
        </w:rPr>
        <w:t>协会各理事单位会员、专业委员会、秘书处共同推荐产生。评审专家委员会由不同学科的科技专家、科学教育专家组成，主要负责申报者业绩成果评审、笔试命题、现场答辩等。</w:t>
      </w:r>
    </w:p>
    <w:p>
      <w:pPr>
        <w:keepNext w:val="0"/>
        <w:keepLines w:val="0"/>
        <w:pageBreakBefore w:val="0"/>
        <w:widowControl/>
        <w:kinsoku/>
        <w:wordWrap/>
        <w:overflowPunct/>
        <w:topLinePunct w:val="0"/>
        <w:autoSpaceDE/>
        <w:autoSpaceDN/>
        <w:bidi w:val="0"/>
        <w:adjustRightInd/>
        <w:snapToGrid w:val="0"/>
        <w:spacing w:line="576" w:lineRule="exact"/>
        <w:ind w:firstLine="660" w:firstLineChars="200"/>
        <w:textAlignment w:val="auto"/>
        <w:rPr>
          <w:rFonts w:hint="eastAsia" w:ascii="楷体_GB2312" w:hAnsi="楷体_GB2312" w:eastAsia="楷体_GB2312" w:cs="楷体_GB2312"/>
          <w:sz w:val="33"/>
          <w:szCs w:val="33"/>
        </w:rPr>
      </w:pPr>
      <w:r>
        <w:rPr>
          <w:rFonts w:hint="eastAsia" w:ascii="楷体_GB2312" w:hAnsi="楷体_GB2312" w:eastAsia="楷体_GB2312" w:cs="楷体_GB2312"/>
          <w:sz w:val="33"/>
          <w:szCs w:val="33"/>
        </w:rPr>
        <w:t>2.</w:t>
      </w:r>
      <w:r>
        <w:rPr>
          <w:rFonts w:hint="eastAsia" w:ascii="楷体_GB2312" w:hAnsi="楷体_GB2312" w:eastAsia="楷体_GB2312" w:cs="楷体_GB2312"/>
          <w:sz w:val="33"/>
          <w:szCs w:val="33"/>
          <w:lang w:val="en-US" w:eastAsia="zh-CN"/>
        </w:rPr>
        <w:t xml:space="preserve"> </w:t>
      </w:r>
      <w:r>
        <w:rPr>
          <w:rFonts w:hint="eastAsia" w:ascii="楷体_GB2312" w:hAnsi="楷体_GB2312" w:eastAsia="楷体_GB2312" w:cs="楷体_GB2312"/>
          <w:sz w:val="33"/>
          <w:szCs w:val="33"/>
        </w:rPr>
        <w:t>监督委员会</w:t>
      </w:r>
    </w:p>
    <w:p>
      <w:pPr>
        <w:keepNext w:val="0"/>
        <w:keepLines w:val="0"/>
        <w:pageBreakBefore w:val="0"/>
        <w:widowControl/>
        <w:kinsoku/>
        <w:wordWrap/>
        <w:overflowPunct/>
        <w:topLinePunct w:val="0"/>
        <w:autoSpaceDE/>
        <w:autoSpaceDN/>
        <w:bidi w:val="0"/>
        <w:adjustRightInd/>
        <w:snapToGrid w:val="0"/>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监事会由吉林省青少年科技</w:t>
      </w:r>
      <w:r>
        <w:rPr>
          <w:rFonts w:hint="eastAsia" w:ascii="仿宋" w:hAnsi="仿宋" w:eastAsia="仿宋" w:cs="仿宋"/>
          <w:sz w:val="33"/>
          <w:szCs w:val="33"/>
          <w:lang w:eastAsia="zh-CN"/>
        </w:rPr>
        <w:t>教育</w:t>
      </w:r>
      <w:r>
        <w:rPr>
          <w:rFonts w:hint="eastAsia" w:ascii="仿宋" w:hAnsi="仿宋" w:eastAsia="仿宋" w:cs="仿宋"/>
          <w:sz w:val="33"/>
          <w:szCs w:val="33"/>
        </w:rPr>
        <w:t>协会</w:t>
      </w:r>
      <w:r>
        <w:rPr>
          <w:rFonts w:hint="eastAsia" w:ascii="仿宋" w:hAnsi="仿宋" w:eastAsia="仿宋" w:cs="仿宋"/>
          <w:color w:val="000000"/>
          <w:sz w:val="33"/>
          <w:szCs w:val="33"/>
        </w:rPr>
        <w:t>监事长和成员及教育系统专家</w:t>
      </w:r>
      <w:r>
        <w:rPr>
          <w:rFonts w:hint="eastAsia" w:ascii="仿宋" w:hAnsi="仿宋" w:eastAsia="仿宋" w:cs="仿宋"/>
          <w:sz w:val="33"/>
          <w:szCs w:val="33"/>
        </w:rPr>
        <w:t>组成担任，主要负责认证工作的监督，受理认证工作中的投诉。</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黑体" w:hAnsi="黑体" w:eastAsia="黑体" w:cs="黑体"/>
          <w:sz w:val="33"/>
          <w:szCs w:val="33"/>
        </w:rPr>
        <w:t>第二条 认证对象</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在吉林省内组织和指导吉林省青少年科技教育活动的中小学教师，高校与科研院所、科普场馆、青少年宫（活动中心）、科技教育机构、社会团体、企事业单位中的从事青少年科技辅导员工作的专业人员。</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黑体" w:hAnsi="黑体" w:eastAsia="黑体" w:cs="黑体"/>
          <w:sz w:val="33"/>
          <w:szCs w:val="33"/>
        </w:rPr>
      </w:pPr>
      <w:r>
        <w:rPr>
          <w:rFonts w:hint="eastAsia" w:ascii="黑体" w:hAnsi="黑体" w:eastAsia="黑体" w:cs="黑体"/>
          <w:sz w:val="33"/>
          <w:szCs w:val="33"/>
        </w:rPr>
        <w:t>第三条 报名条件</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1. 拥护中国共产党的领导，热爱祖国，遵纪守法；热爱青少年科技教育事业，具备良好的职业道德和敬业精神。</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2. 一般具有大学本科及其以上学历，连续从事青少年科技辅导员工作3年以上。</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3. 近三年内，参加省级以上（含）线上或线下青少年科技教育专业培训时间不少于70学时（其中科协系统的培训部少于35学时），并获得培训合格证书。</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4. 具备以下3项条件中任意</w:t>
      </w:r>
      <w:r>
        <w:rPr>
          <w:rFonts w:hint="eastAsia" w:ascii="仿宋" w:hAnsi="仿宋" w:eastAsia="仿宋" w:cs="仿宋"/>
          <w:sz w:val="33"/>
          <w:szCs w:val="33"/>
          <w:lang w:val="en-US" w:eastAsia="zh-CN"/>
        </w:rPr>
        <w:t>2</w:t>
      </w:r>
      <w:r>
        <w:rPr>
          <w:rFonts w:hint="eastAsia" w:ascii="仿宋" w:hAnsi="仿宋" w:eastAsia="仿宋" w:cs="仿宋"/>
          <w:sz w:val="33"/>
          <w:szCs w:val="33"/>
        </w:rPr>
        <w:t>项：</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4.1</w:t>
      </w:r>
      <w:r>
        <w:rPr>
          <w:rFonts w:hint="eastAsia" w:ascii="仿宋" w:hAnsi="仿宋" w:eastAsia="仿宋" w:cs="仿宋"/>
          <w:sz w:val="33"/>
          <w:szCs w:val="33"/>
          <w:lang w:val="en-US" w:eastAsia="zh-CN"/>
        </w:rPr>
        <w:t xml:space="preserve"> </w:t>
      </w:r>
      <w:r>
        <w:rPr>
          <w:rFonts w:hint="eastAsia" w:ascii="仿宋" w:hAnsi="仿宋" w:eastAsia="仿宋" w:cs="仿宋"/>
          <w:sz w:val="33"/>
          <w:szCs w:val="33"/>
        </w:rPr>
        <w:t>近三年内，作为第一指导教师指导学生参加省级以上（含）青少年科技竞赛活动获奖。</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4.2</w:t>
      </w:r>
      <w:r>
        <w:rPr>
          <w:rFonts w:hint="eastAsia" w:ascii="仿宋" w:hAnsi="仿宋" w:eastAsia="仿宋" w:cs="仿宋"/>
          <w:sz w:val="33"/>
          <w:szCs w:val="33"/>
          <w:lang w:val="en-US" w:eastAsia="zh-CN"/>
        </w:rPr>
        <w:t xml:space="preserve"> </w:t>
      </w:r>
      <w:r>
        <w:rPr>
          <w:rFonts w:hint="eastAsia" w:ascii="仿宋" w:hAnsi="仿宋" w:eastAsia="仿宋" w:cs="仿宋"/>
          <w:sz w:val="33"/>
          <w:szCs w:val="33"/>
        </w:rPr>
        <w:t>近三年内，在省级以上（含）青少年科技教育相关专业评比活动获奖，如科技教育活动方案、教具研发等；获得省级优秀科技辅导员的表彰奖励等。</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4.3</w:t>
      </w:r>
      <w:r>
        <w:rPr>
          <w:rFonts w:hint="eastAsia" w:ascii="仿宋" w:hAnsi="仿宋" w:eastAsia="仿宋" w:cs="仿宋"/>
          <w:sz w:val="33"/>
          <w:szCs w:val="33"/>
          <w:lang w:val="en-US" w:eastAsia="zh-CN"/>
        </w:rPr>
        <w:t xml:space="preserve"> </w:t>
      </w:r>
      <w:r>
        <w:rPr>
          <w:rFonts w:hint="eastAsia" w:ascii="仿宋" w:hAnsi="仿宋" w:eastAsia="仿宋" w:cs="仿宋"/>
          <w:sz w:val="33"/>
          <w:szCs w:val="33"/>
        </w:rPr>
        <w:t>近三年内，参与完成过省级以上（含）科技教育课程开发；承担完成青少年科技教育课题研究；省在省级以上（含）期刊发表过科技教育相关的论文。</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黑体" w:hAnsi="黑体" w:eastAsia="黑体" w:cs="黑体"/>
          <w:sz w:val="33"/>
          <w:szCs w:val="33"/>
        </w:rPr>
        <w:t>第四条  认证机构</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中级青少年科技辅导员专业水平等级认证由中国青少年科技辅导员协会授权</w:t>
      </w:r>
      <w:r>
        <w:rPr>
          <w:rFonts w:hint="eastAsia" w:ascii="仿宋" w:hAnsi="仿宋" w:eastAsia="仿宋" w:cs="仿宋"/>
          <w:kern w:val="0"/>
          <w:sz w:val="32"/>
          <w:szCs w:val="32"/>
          <w:lang w:val="en-US" w:eastAsia="zh-CN"/>
        </w:rPr>
        <w:t>吉林</w:t>
      </w:r>
      <w:r>
        <w:rPr>
          <w:rFonts w:hint="eastAsia" w:ascii="仿宋" w:hAnsi="仿宋" w:eastAsia="仿宋" w:cs="仿宋"/>
          <w:kern w:val="0"/>
          <w:sz w:val="32"/>
          <w:szCs w:val="32"/>
        </w:rPr>
        <w:t>省青少年科技</w:t>
      </w:r>
      <w:r>
        <w:rPr>
          <w:rFonts w:hint="eastAsia" w:ascii="仿宋" w:hAnsi="仿宋" w:eastAsia="仿宋" w:cs="仿宋"/>
          <w:kern w:val="0"/>
          <w:sz w:val="32"/>
          <w:szCs w:val="32"/>
          <w:lang w:val="en-US" w:eastAsia="zh-CN"/>
        </w:rPr>
        <w:t>教育协会</w:t>
      </w:r>
      <w:r>
        <w:rPr>
          <w:rFonts w:hint="eastAsia" w:ascii="仿宋" w:hAnsi="仿宋" w:eastAsia="仿宋" w:cs="仿宋"/>
          <w:kern w:val="0"/>
          <w:sz w:val="32"/>
          <w:szCs w:val="32"/>
        </w:rPr>
        <w:t>负责。</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黑体" w:hAnsi="黑体" w:eastAsia="黑体" w:cs="黑体"/>
          <w:sz w:val="33"/>
          <w:szCs w:val="33"/>
        </w:rPr>
        <w:t>第五条  认证流程</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认证程序包括申请、评审、公示、颁证。</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符合中级认证报名条件的申请人</w:t>
      </w:r>
      <w:r>
        <w:rPr>
          <w:rFonts w:hint="eastAsia" w:ascii="仿宋" w:hAnsi="仿宋" w:eastAsia="仿宋" w:cs="仿宋"/>
          <w:color w:val="auto"/>
          <w:sz w:val="33"/>
          <w:szCs w:val="33"/>
        </w:rPr>
        <w:t>登录</w:t>
      </w:r>
      <w:r>
        <w:rPr>
          <w:rFonts w:hint="eastAsia" w:ascii="仿宋" w:hAnsi="仿宋" w:eastAsia="仿宋" w:cs="仿宋"/>
          <w:color w:val="auto"/>
          <w:sz w:val="33"/>
          <w:szCs w:val="33"/>
          <w:lang w:val="en-US" w:eastAsia="zh-CN"/>
        </w:rPr>
        <w:t>http://qualification.cacsi.org.cn/</w:t>
      </w:r>
      <w:r>
        <w:rPr>
          <w:rFonts w:hint="eastAsia" w:ascii="仿宋" w:hAnsi="仿宋" w:eastAsia="仿宋" w:cs="仿宋"/>
          <w:color w:val="auto"/>
          <w:sz w:val="33"/>
          <w:szCs w:val="33"/>
        </w:rPr>
        <w:t>“</w:t>
      </w:r>
      <w:r>
        <w:rPr>
          <w:rFonts w:hint="eastAsia" w:ascii="仿宋" w:hAnsi="仿宋" w:eastAsia="仿宋" w:cs="仿宋"/>
          <w:color w:val="auto"/>
          <w:sz w:val="33"/>
          <w:szCs w:val="33"/>
          <w:lang w:val="en-US" w:eastAsia="zh-CN"/>
        </w:rPr>
        <w:t>全国青少年</w:t>
      </w:r>
      <w:r>
        <w:rPr>
          <w:rFonts w:hint="eastAsia" w:ascii="仿宋" w:hAnsi="仿宋" w:eastAsia="仿宋" w:cs="仿宋"/>
          <w:color w:val="auto"/>
          <w:sz w:val="33"/>
          <w:szCs w:val="33"/>
        </w:rPr>
        <w:t>科技辅导</w:t>
      </w:r>
      <w:r>
        <w:rPr>
          <w:rFonts w:hint="eastAsia" w:ascii="仿宋" w:hAnsi="仿宋" w:eastAsia="仿宋" w:cs="仿宋"/>
          <w:sz w:val="33"/>
          <w:szCs w:val="33"/>
        </w:rPr>
        <w:t>员</w:t>
      </w:r>
      <w:r>
        <w:rPr>
          <w:rFonts w:hint="eastAsia" w:ascii="仿宋" w:hAnsi="仿宋" w:eastAsia="仿宋" w:cs="仿宋"/>
          <w:sz w:val="33"/>
          <w:szCs w:val="33"/>
          <w:lang w:val="en-US" w:eastAsia="zh-CN"/>
        </w:rPr>
        <w:t>专业</w:t>
      </w:r>
      <w:r>
        <w:rPr>
          <w:rFonts w:hint="eastAsia" w:ascii="仿宋" w:hAnsi="仿宋" w:eastAsia="仿宋" w:cs="仿宋"/>
          <w:sz w:val="33"/>
          <w:szCs w:val="33"/>
        </w:rPr>
        <w:t>认证管理平台系统”，根据所符合的条件选择申报认证的级别，在线填写“</w:t>
      </w:r>
      <w:r>
        <w:rPr>
          <w:rFonts w:hint="eastAsia" w:ascii="仿宋" w:hAnsi="仿宋" w:eastAsia="仿宋" w:cs="仿宋"/>
          <w:sz w:val="33"/>
          <w:szCs w:val="33"/>
          <w:lang w:val="en-US" w:eastAsia="zh-CN"/>
        </w:rPr>
        <w:t>中级</w:t>
      </w:r>
      <w:r>
        <w:rPr>
          <w:rFonts w:hint="eastAsia" w:ascii="仿宋" w:hAnsi="仿宋" w:eastAsia="仿宋" w:cs="仿宋"/>
          <w:sz w:val="33"/>
          <w:szCs w:val="33"/>
        </w:rPr>
        <w:t>青少年科技辅导员认证申报书”，并上传相关业绩成果材料，在线打印申报书，签字并加盖所在单位公章后，通过认证管理系统提交。</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完成所有材料提交并缴费后申报完成，申报者等待审核资料、笔试和答辩通知。</w:t>
      </w:r>
    </w:p>
    <w:p>
      <w:pPr>
        <w:keepNext w:val="0"/>
        <w:keepLines w:val="0"/>
        <w:pageBreakBefore w:val="0"/>
        <w:kinsoku/>
        <w:wordWrap/>
        <w:overflowPunct/>
        <w:topLinePunct w:val="0"/>
        <w:autoSpaceDE/>
        <w:autoSpaceDN/>
        <w:bidi w:val="0"/>
        <w:adjustRightInd/>
        <w:spacing w:line="576" w:lineRule="exact"/>
        <w:ind w:firstLine="495" w:firstLineChars="150"/>
        <w:textAlignment w:val="auto"/>
        <w:rPr>
          <w:rFonts w:hint="eastAsia" w:ascii="楷体_GB2312" w:hAnsi="楷体_GB2312" w:eastAsia="楷体_GB2312" w:cs="楷体_GB2312"/>
          <w:sz w:val="33"/>
          <w:szCs w:val="33"/>
        </w:rPr>
      </w:pPr>
      <w:r>
        <w:rPr>
          <w:rFonts w:hint="eastAsia" w:ascii="楷体_GB2312" w:hAnsi="楷体_GB2312" w:eastAsia="楷体_GB2312" w:cs="楷体_GB2312"/>
          <w:sz w:val="33"/>
          <w:szCs w:val="33"/>
        </w:rPr>
        <w:t>（一）申请</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科技辅导员本人对照不同专业水平的报名条件，自愿申请。申请人须填写《青少年科技辅导员专业水平认证申报书》，与本人工作水平和工作成果的证明材料一起提交到认证报名系统，用于专家评审。证明材料主要为以下几类：</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1. 本人作为指导教师，组织指导学生参加科技竞赛或科技活动取得成绩的相关证明材料。</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2. 本人参加科技辅导员专业评比活动（如科技教育活动方案设计、教具研发、论文）等取得成绩的相关证明材料。</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3. 本人参与青少年科技教育相关课题、成果及撰写并发表论文的情况。</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4. 本人在带动、辐射和指导本地区科技辅导员培训、参与科技辅导员课程开发工作、参与策划和组织开展区域性青少年科技教育活动的情况等。</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5. 参加青少年科技教育相关培训情况的证明材料。</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6. 其他可证明科技辅导员方面的工作业绩和成果的材料。</w:t>
      </w:r>
    </w:p>
    <w:p>
      <w:pPr>
        <w:keepNext w:val="0"/>
        <w:keepLines w:val="0"/>
        <w:pageBreakBefore w:val="0"/>
        <w:kinsoku/>
        <w:wordWrap/>
        <w:overflowPunct/>
        <w:topLinePunct w:val="0"/>
        <w:autoSpaceDE/>
        <w:autoSpaceDN/>
        <w:bidi w:val="0"/>
        <w:adjustRightInd/>
        <w:spacing w:line="576" w:lineRule="exact"/>
        <w:ind w:firstLine="495" w:firstLineChars="150"/>
        <w:textAlignment w:val="auto"/>
        <w:rPr>
          <w:rFonts w:hint="eastAsia" w:ascii="楷体_GB2312" w:hAnsi="楷体_GB2312" w:eastAsia="楷体_GB2312" w:cs="楷体_GB2312"/>
          <w:sz w:val="33"/>
          <w:szCs w:val="33"/>
        </w:rPr>
      </w:pPr>
      <w:r>
        <w:rPr>
          <w:rFonts w:hint="eastAsia" w:ascii="楷体_GB2312" w:hAnsi="楷体_GB2312" w:eastAsia="楷体_GB2312" w:cs="楷体_GB2312"/>
          <w:sz w:val="33"/>
          <w:szCs w:val="33"/>
        </w:rPr>
        <w:t>（二）评审</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评审主要从师德修养与专业情感、理论水平与科技素养、业务能力和实践能力三方面综合评价。评审包括资格审查、业绩和成果评审、现场答辩、笔试等环节。</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1. 资格审查：认证机构会将根据申报要求进行资格审核。审核合格者将获得参加认证的资格。</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2. 业绩和成果评审：认证专业委员会根据科技辅导员提交的材料进行评审并打分。</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3. 笔试：主要考察申报者的基本科学素质、开展科技教育活动必备的基础理论知识。试题采用全国统一题库，由认证系统随机组卷，通过在线方式进行。根据考试情况划定及格分数线，未达到分数线者直接淘汰。达到分数线者进入成绩累加环节。</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4. 现场</w:t>
      </w:r>
      <w:r>
        <w:rPr>
          <w:rFonts w:hint="eastAsia" w:ascii="仿宋" w:hAnsi="仿宋" w:eastAsia="仿宋" w:cs="仿宋"/>
          <w:sz w:val="33"/>
          <w:szCs w:val="33"/>
          <w:lang w:val="en-US" w:eastAsia="zh-CN"/>
        </w:rPr>
        <w:t>或线上</w:t>
      </w:r>
      <w:r>
        <w:rPr>
          <w:rFonts w:hint="eastAsia" w:ascii="仿宋" w:hAnsi="仿宋" w:eastAsia="仿宋" w:cs="仿宋"/>
          <w:sz w:val="33"/>
          <w:szCs w:val="33"/>
        </w:rPr>
        <w:t>答辩：重点考察申请人对青少年科技教育工作的认识、专业情感、工作业绩和能力</w:t>
      </w:r>
      <w:r>
        <w:rPr>
          <w:rFonts w:hint="eastAsia" w:ascii="仿宋" w:hAnsi="仿宋" w:eastAsia="仿宋" w:cs="仿宋"/>
          <w:sz w:val="33"/>
          <w:szCs w:val="33"/>
          <w:lang w:eastAsia="zh-CN"/>
        </w:rPr>
        <w:t>（</w:t>
      </w:r>
      <w:r>
        <w:rPr>
          <w:rFonts w:hint="eastAsia" w:ascii="仿宋" w:hAnsi="仿宋" w:eastAsia="仿宋" w:cs="仿宋"/>
          <w:sz w:val="33"/>
          <w:szCs w:val="33"/>
          <w:lang w:val="en-US" w:eastAsia="zh-CN"/>
        </w:rPr>
        <w:t>具体答辩方式根据疫情情况另行通知</w:t>
      </w:r>
      <w:r>
        <w:rPr>
          <w:rFonts w:hint="eastAsia" w:ascii="仿宋" w:hAnsi="仿宋" w:eastAsia="仿宋" w:cs="仿宋"/>
          <w:sz w:val="33"/>
          <w:szCs w:val="33"/>
          <w:lang w:eastAsia="zh-CN"/>
        </w:rPr>
        <w:t>）</w:t>
      </w:r>
      <w:r>
        <w:rPr>
          <w:rFonts w:hint="eastAsia" w:ascii="仿宋" w:hAnsi="仿宋" w:eastAsia="仿宋" w:cs="仿宋"/>
          <w:sz w:val="33"/>
          <w:szCs w:val="33"/>
        </w:rPr>
        <w:t>。</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楷体_GB2312" w:hAnsi="楷体_GB2312" w:eastAsia="楷体_GB2312" w:cs="楷体_GB2312"/>
          <w:sz w:val="33"/>
          <w:szCs w:val="33"/>
        </w:rPr>
        <w:t>（三）公示</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认证名单在在吉林省青少年科技创新服务平台为期</w:t>
      </w:r>
      <w:r>
        <w:rPr>
          <w:rFonts w:hint="eastAsia" w:ascii="仿宋" w:hAnsi="仿宋" w:eastAsia="仿宋" w:cs="仿宋"/>
          <w:sz w:val="33"/>
          <w:szCs w:val="33"/>
          <w:lang w:val="en-US" w:eastAsia="zh-CN"/>
        </w:rPr>
        <w:t>5</w:t>
      </w:r>
      <w:r>
        <w:rPr>
          <w:rFonts w:hint="eastAsia" w:ascii="仿宋" w:hAnsi="仿宋" w:eastAsia="仿宋" w:cs="仿宋"/>
          <w:sz w:val="33"/>
          <w:szCs w:val="33"/>
        </w:rPr>
        <w:t>个工作日的公示。公示期间如有投诉，查实后将取消对申请人的认证。</w:t>
      </w:r>
    </w:p>
    <w:p>
      <w:pPr>
        <w:keepNext w:val="0"/>
        <w:keepLines w:val="0"/>
        <w:pageBreakBefore w:val="0"/>
        <w:kinsoku/>
        <w:wordWrap/>
        <w:overflowPunct/>
        <w:topLinePunct w:val="0"/>
        <w:autoSpaceDE/>
        <w:autoSpaceDN/>
        <w:bidi w:val="0"/>
        <w:adjustRightInd/>
        <w:spacing w:line="576" w:lineRule="exact"/>
        <w:ind w:firstLine="495" w:firstLineChars="150"/>
        <w:textAlignment w:val="auto"/>
        <w:rPr>
          <w:rFonts w:hint="eastAsia" w:ascii="楷体_GB2312" w:hAnsi="楷体_GB2312" w:eastAsia="楷体_GB2312" w:cs="楷体_GB2312"/>
          <w:sz w:val="33"/>
          <w:szCs w:val="33"/>
        </w:rPr>
      </w:pPr>
      <w:r>
        <w:rPr>
          <w:rFonts w:hint="eastAsia" w:ascii="楷体_GB2312" w:hAnsi="楷体_GB2312" w:eastAsia="楷体_GB2312" w:cs="楷体_GB2312"/>
          <w:sz w:val="33"/>
          <w:szCs w:val="33"/>
        </w:rPr>
        <w:t>（四）颁证</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经公示无异议，由中国青少年科技辅导员协会</w:t>
      </w:r>
      <w:r>
        <w:rPr>
          <w:rFonts w:hint="eastAsia" w:ascii="仿宋" w:hAnsi="仿宋" w:eastAsia="仿宋" w:cs="仿宋"/>
          <w:sz w:val="33"/>
          <w:szCs w:val="33"/>
          <w:lang w:eastAsia="zh-CN"/>
        </w:rPr>
        <w:t>和吉林省青少年科技教育协会</w:t>
      </w:r>
      <w:r>
        <w:rPr>
          <w:rFonts w:hint="eastAsia" w:ascii="仿宋" w:hAnsi="仿宋" w:eastAsia="仿宋" w:cs="仿宋"/>
          <w:sz w:val="33"/>
          <w:szCs w:val="33"/>
        </w:rPr>
        <w:t>颁发电子证书。</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黑体" w:hAnsi="黑体" w:eastAsia="黑体" w:cs="黑体"/>
          <w:sz w:val="33"/>
          <w:szCs w:val="33"/>
        </w:rPr>
        <w:t>第六条 认证时间</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20</w:t>
      </w:r>
      <w:r>
        <w:rPr>
          <w:rFonts w:hint="eastAsia" w:ascii="仿宋" w:hAnsi="仿宋" w:eastAsia="仿宋" w:cs="仿宋"/>
          <w:sz w:val="33"/>
          <w:szCs w:val="33"/>
          <w:lang w:val="en-US" w:eastAsia="zh-CN"/>
        </w:rPr>
        <w:t>21</w:t>
      </w:r>
      <w:r>
        <w:rPr>
          <w:rFonts w:hint="eastAsia" w:ascii="仿宋" w:hAnsi="仿宋" w:eastAsia="仿宋" w:cs="仿宋"/>
          <w:sz w:val="33"/>
          <w:szCs w:val="33"/>
        </w:rPr>
        <w:t>年8月</w:t>
      </w:r>
      <w:r>
        <w:rPr>
          <w:rFonts w:hint="eastAsia" w:ascii="仿宋" w:hAnsi="仿宋" w:eastAsia="仿宋" w:cs="仿宋"/>
          <w:sz w:val="33"/>
          <w:szCs w:val="33"/>
          <w:lang w:val="en-US" w:eastAsia="zh-CN"/>
        </w:rPr>
        <w:t>2</w:t>
      </w:r>
      <w:r>
        <w:rPr>
          <w:rFonts w:hint="eastAsia" w:ascii="仿宋" w:hAnsi="仿宋" w:eastAsia="仿宋" w:cs="仿宋"/>
          <w:sz w:val="33"/>
          <w:szCs w:val="33"/>
        </w:rPr>
        <w:t>日-9月</w:t>
      </w:r>
      <w:r>
        <w:rPr>
          <w:rFonts w:hint="eastAsia" w:ascii="仿宋" w:hAnsi="仿宋" w:eastAsia="仿宋" w:cs="仿宋"/>
          <w:sz w:val="33"/>
          <w:szCs w:val="33"/>
          <w:lang w:val="en-US" w:eastAsia="zh-CN"/>
        </w:rPr>
        <w:t>24</w:t>
      </w:r>
      <w:r>
        <w:rPr>
          <w:rFonts w:hint="eastAsia" w:ascii="仿宋" w:hAnsi="仿宋" w:eastAsia="仿宋" w:cs="仿宋"/>
          <w:sz w:val="33"/>
          <w:szCs w:val="33"/>
        </w:rPr>
        <w:t>日为认证申请期，</w:t>
      </w:r>
      <w:r>
        <w:rPr>
          <w:rFonts w:hint="eastAsia" w:ascii="仿宋" w:hAnsi="仿宋" w:eastAsia="仿宋" w:cs="仿宋"/>
          <w:sz w:val="33"/>
          <w:szCs w:val="33"/>
          <w:lang w:val="en-US" w:eastAsia="zh-CN"/>
        </w:rPr>
        <w:t>10</w:t>
      </w:r>
      <w:r>
        <w:rPr>
          <w:rFonts w:hint="eastAsia" w:ascii="仿宋" w:hAnsi="仿宋" w:eastAsia="仿宋" w:cs="仿宋"/>
          <w:sz w:val="33"/>
          <w:szCs w:val="33"/>
        </w:rPr>
        <w:t>月进行笔试、答辩，1</w:t>
      </w:r>
      <w:r>
        <w:rPr>
          <w:rFonts w:hint="eastAsia" w:ascii="仿宋" w:hAnsi="仿宋" w:eastAsia="仿宋" w:cs="仿宋"/>
          <w:sz w:val="33"/>
          <w:szCs w:val="33"/>
          <w:lang w:val="en-US" w:eastAsia="zh-CN"/>
        </w:rPr>
        <w:t>1</w:t>
      </w:r>
      <w:r>
        <w:rPr>
          <w:rFonts w:hint="eastAsia" w:ascii="仿宋" w:hAnsi="仿宋" w:eastAsia="仿宋" w:cs="仿宋"/>
          <w:sz w:val="33"/>
          <w:szCs w:val="33"/>
        </w:rPr>
        <w:t>月公布认证名单，具体时间以吉林省青少年科技创新服务平台（http://jilin.xiaoxiaotong.org/）通知时间为准。</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黑体" w:hAnsi="黑体" w:eastAsia="黑体" w:cs="黑体"/>
          <w:sz w:val="33"/>
          <w:szCs w:val="33"/>
        </w:rPr>
        <w:t>第七条 计分办法</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color w:val="auto"/>
          <w:sz w:val="33"/>
          <w:szCs w:val="33"/>
        </w:rPr>
      </w:pPr>
      <w:r>
        <w:rPr>
          <w:rFonts w:hint="eastAsia" w:ascii="仿宋" w:hAnsi="仿宋" w:eastAsia="仿宋" w:cs="仿宋"/>
          <w:color w:val="auto"/>
          <w:sz w:val="33"/>
          <w:szCs w:val="33"/>
        </w:rPr>
        <w:t>中级青少年科技辅导员认证满分为100分，各环节得分占比分别为：业绩和成果50%，笔试15%，答辩35%。</w:t>
      </w:r>
    </w:p>
    <w:p>
      <w:pPr>
        <w:spacing w:line="576" w:lineRule="exact"/>
        <w:ind w:firstLine="640" w:firstLineChars="200"/>
        <w:rPr>
          <w:rFonts w:hint="eastAsia" w:ascii="仿宋" w:hAnsi="仿宋" w:eastAsia="仿宋" w:cs="仿宋"/>
          <w:color w:val="0000FF"/>
          <w:sz w:val="33"/>
          <w:szCs w:val="33"/>
        </w:rPr>
      </w:pPr>
      <w:r>
        <w:rPr>
          <w:rFonts w:hint="eastAsia" w:ascii="仿宋_GB2312" w:hAnsi="仿宋" w:eastAsia="仿宋_GB2312"/>
          <w:color w:val="auto"/>
          <w:sz w:val="32"/>
          <w:szCs w:val="32"/>
        </w:rPr>
        <w:t>根据考试情况划定及格分数线，</w:t>
      </w:r>
      <w:r>
        <w:rPr>
          <w:rFonts w:hint="eastAsia" w:ascii="仿宋_GB2312" w:hAnsi="仿宋" w:eastAsia="仿宋_GB2312"/>
          <w:color w:val="auto"/>
          <w:sz w:val="32"/>
          <w:szCs w:val="32"/>
          <w:lang w:val="en-US" w:eastAsia="zh-CN"/>
        </w:rPr>
        <w:t>业绩成果</w:t>
      </w:r>
      <w:r>
        <w:rPr>
          <w:rFonts w:hint="eastAsia" w:ascii="仿宋_GB2312" w:hAnsi="仿宋" w:eastAsia="仿宋_GB2312"/>
          <w:color w:val="auto"/>
          <w:sz w:val="32"/>
          <w:szCs w:val="32"/>
        </w:rPr>
        <w:t>限定最低分数线</w:t>
      </w:r>
      <w:r>
        <w:rPr>
          <w:rFonts w:hint="eastAsia" w:ascii="仿宋_GB2312" w:hAnsi="仿宋" w:eastAsia="仿宋_GB2312"/>
          <w:color w:val="auto"/>
          <w:sz w:val="32"/>
          <w:szCs w:val="32"/>
          <w:lang w:val="en-US" w:eastAsia="zh-CN"/>
        </w:rPr>
        <w:t>30分</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笔试</w:t>
      </w:r>
      <w:r>
        <w:rPr>
          <w:rFonts w:hint="eastAsia" w:ascii="仿宋_GB2312" w:hAnsi="仿宋" w:eastAsia="仿宋_GB2312"/>
          <w:color w:val="auto"/>
          <w:sz w:val="32"/>
          <w:szCs w:val="32"/>
        </w:rPr>
        <w:t>限定最低分数线</w:t>
      </w:r>
      <w:r>
        <w:rPr>
          <w:rFonts w:hint="eastAsia" w:ascii="仿宋_GB2312" w:hAnsi="仿宋" w:eastAsia="仿宋_GB2312"/>
          <w:color w:val="auto"/>
          <w:sz w:val="32"/>
          <w:szCs w:val="32"/>
          <w:lang w:val="en-US" w:eastAsia="zh-CN"/>
        </w:rPr>
        <w:t>9分，答辩</w:t>
      </w:r>
      <w:r>
        <w:rPr>
          <w:rFonts w:hint="eastAsia" w:ascii="仿宋_GB2312" w:hAnsi="仿宋" w:eastAsia="仿宋_GB2312"/>
          <w:color w:val="auto"/>
          <w:sz w:val="32"/>
          <w:szCs w:val="32"/>
        </w:rPr>
        <w:t>限定最低分数线</w:t>
      </w:r>
      <w:r>
        <w:rPr>
          <w:rFonts w:hint="eastAsia" w:ascii="仿宋_GB2312" w:hAnsi="仿宋" w:eastAsia="仿宋_GB2312"/>
          <w:color w:val="auto"/>
          <w:sz w:val="32"/>
          <w:szCs w:val="32"/>
          <w:lang w:val="en-US" w:eastAsia="zh-CN"/>
        </w:rPr>
        <w:t>21分，</w:t>
      </w:r>
      <w:r>
        <w:rPr>
          <w:rFonts w:hint="eastAsia" w:ascii="仿宋_GB2312" w:hAnsi="仿宋" w:eastAsia="仿宋_GB2312"/>
          <w:color w:val="auto"/>
          <w:sz w:val="32"/>
          <w:szCs w:val="32"/>
        </w:rPr>
        <w:t>低于</w:t>
      </w:r>
      <w:r>
        <w:rPr>
          <w:rFonts w:hint="eastAsia" w:ascii="仿宋_GB2312" w:hAnsi="仿宋" w:eastAsia="仿宋_GB2312"/>
          <w:color w:val="auto"/>
          <w:sz w:val="32"/>
          <w:szCs w:val="32"/>
          <w:lang w:val="en-US" w:eastAsia="zh-CN"/>
        </w:rPr>
        <w:t>各</w:t>
      </w:r>
      <w:r>
        <w:rPr>
          <w:rFonts w:hint="eastAsia" w:ascii="仿宋_GB2312" w:hAnsi="仿宋" w:eastAsia="仿宋_GB2312"/>
          <w:color w:val="auto"/>
          <w:sz w:val="32"/>
          <w:szCs w:val="32"/>
        </w:rPr>
        <w:t>最低分数线将不能通过笔试环节直接淘汰。</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黑体" w:hAnsi="黑体" w:eastAsia="黑体" w:cs="黑体"/>
          <w:sz w:val="33"/>
          <w:szCs w:val="33"/>
        </w:rPr>
        <w:t>第八条  证书颁发</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仿宋" w:hAnsi="仿宋" w:eastAsia="仿宋" w:cs="仿宋"/>
          <w:sz w:val="33"/>
          <w:szCs w:val="33"/>
        </w:rPr>
      </w:pPr>
      <w:r>
        <w:rPr>
          <w:rFonts w:hint="eastAsia" w:ascii="仿宋" w:hAnsi="仿宋" w:eastAsia="仿宋" w:cs="仿宋"/>
          <w:sz w:val="33"/>
          <w:szCs w:val="33"/>
        </w:rPr>
        <w:t>通过中级青少年科技辅导员认证的申请者获得由</w:t>
      </w:r>
      <w:r>
        <w:rPr>
          <w:rFonts w:hint="eastAsia" w:ascii="仿宋" w:hAnsi="仿宋" w:eastAsia="仿宋" w:cs="仿宋"/>
          <w:sz w:val="33"/>
          <w:szCs w:val="33"/>
          <w:lang w:eastAsia="zh-CN"/>
        </w:rPr>
        <w:t>吉林</w:t>
      </w:r>
      <w:r>
        <w:rPr>
          <w:rFonts w:hint="eastAsia" w:ascii="仿宋" w:hAnsi="仿宋" w:eastAsia="仿宋" w:cs="仿宋"/>
          <w:sz w:val="33"/>
          <w:szCs w:val="33"/>
        </w:rPr>
        <w:t>省青少年科技</w:t>
      </w:r>
      <w:r>
        <w:rPr>
          <w:rFonts w:hint="eastAsia" w:ascii="仿宋" w:hAnsi="仿宋" w:eastAsia="仿宋" w:cs="仿宋"/>
          <w:sz w:val="33"/>
          <w:szCs w:val="33"/>
          <w:lang w:eastAsia="zh-CN"/>
        </w:rPr>
        <w:t>教育</w:t>
      </w:r>
      <w:r>
        <w:rPr>
          <w:rFonts w:hint="eastAsia" w:ascii="仿宋" w:hAnsi="仿宋" w:eastAsia="仿宋" w:cs="仿宋"/>
          <w:sz w:val="33"/>
          <w:szCs w:val="33"/>
        </w:rPr>
        <w:t>协会和中国青少年科技辅导员协会颁发电子证书，中国青少年科技辅导员协会官网提供查证服务，申请者可自行下载打印纸质证书。</w:t>
      </w:r>
    </w:p>
    <w:p>
      <w:pPr>
        <w:spacing w:line="576" w:lineRule="exact"/>
        <w:ind w:firstLine="660" w:firstLineChars="200"/>
        <w:rPr>
          <w:rFonts w:hint="default" w:ascii="黑体" w:hAnsi="黑体" w:eastAsia="黑体"/>
          <w:sz w:val="33"/>
          <w:szCs w:val="33"/>
          <w:lang w:val="en-US" w:eastAsia="zh-CN"/>
        </w:rPr>
      </w:pPr>
      <w:r>
        <w:rPr>
          <w:rFonts w:hint="eastAsia" w:ascii="黑体" w:hAnsi="黑体" w:eastAsia="黑体"/>
          <w:sz w:val="33"/>
          <w:szCs w:val="33"/>
        </w:rPr>
        <w:t>第九条</w:t>
      </w:r>
      <w:r>
        <w:rPr>
          <w:rFonts w:ascii="黑体" w:hAnsi="黑体" w:eastAsia="黑体"/>
          <w:sz w:val="33"/>
          <w:szCs w:val="33"/>
        </w:rPr>
        <w:t xml:space="preserve"> </w:t>
      </w:r>
      <w:r>
        <w:rPr>
          <w:rFonts w:hint="eastAsia" w:ascii="黑体" w:hAnsi="黑体" w:eastAsia="黑体"/>
          <w:sz w:val="33"/>
          <w:szCs w:val="33"/>
          <w:lang w:val="en-US" w:eastAsia="zh-CN"/>
        </w:rPr>
        <w:t>费用说明</w:t>
      </w:r>
    </w:p>
    <w:p>
      <w:pPr>
        <w:spacing w:line="576"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吉林省青少年科技辅导员认证费用由中国青少年科技辅导员教育协会收取。</w:t>
      </w:r>
    </w:p>
    <w:p>
      <w:pPr>
        <w:spacing w:line="576" w:lineRule="exact"/>
        <w:ind w:firstLine="640" w:firstLineChars="200"/>
        <w:rPr>
          <w:rFonts w:ascii="仿宋" w:hAnsi="仿宋" w:eastAsia="仿宋" w:cs="仿宋"/>
          <w:sz w:val="33"/>
          <w:szCs w:val="33"/>
        </w:rPr>
      </w:pPr>
      <w:r>
        <w:rPr>
          <w:rFonts w:hint="eastAsia" w:ascii="仿宋" w:hAnsi="仿宋" w:eastAsia="仿宋" w:cs="仿宋"/>
          <w:color w:val="auto"/>
          <w:sz w:val="32"/>
          <w:szCs w:val="32"/>
        </w:rPr>
        <w:t>中级认证每人缴纳300元评审费，</w:t>
      </w:r>
      <w:r>
        <w:rPr>
          <w:rFonts w:hint="eastAsia" w:ascii="仿宋" w:hAnsi="仿宋" w:eastAsia="仿宋" w:cs="仿宋"/>
          <w:color w:val="auto"/>
          <w:sz w:val="32"/>
          <w:szCs w:val="32"/>
          <w:lang w:val="en-US" w:eastAsia="zh-CN"/>
        </w:rPr>
        <w:t>如果是中国青少年科技辅导员协会的会员可享受6折优惠。</w:t>
      </w:r>
      <w:r>
        <w:rPr>
          <w:rFonts w:hint="eastAsia" w:ascii="仿宋" w:hAnsi="仿宋" w:eastAsia="仿宋" w:cs="仿宋"/>
          <w:sz w:val="33"/>
          <w:szCs w:val="33"/>
        </w:rPr>
        <w:t>认证费用通过“全国青少年科技辅导员专业认证管理平台系统</w:t>
      </w:r>
      <w:r>
        <w:rPr>
          <w:rFonts w:hint="eastAsia" w:ascii="仿宋" w:hAnsi="仿宋" w:eastAsia="仿宋" w:cs="仿宋"/>
          <w:sz w:val="28"/>
          <w:szCs w:val="28"/>
        </w:rPr>
        <w:t>（http://qualification.cacsi.org.cn/）</w:t>
      </w:r>
      <w:r>
        <w:rPr>
          <w:rFonts w:hint="eastAsia" w:ascii="仿宋" w:hAnsi="仿宋" w:eastAsia="仿宋" w:cs="仿宋"/>
          <w:sz w:val="33"/>
          <w:szCs w:val="33"/>
        </w:rPr>
        <w:t>”缴纳，用于认证的评审和组织工作</w:t>
      </w:r>
      <w:r>
        <w:rPr>
          <w:rFonts w:hint="eastAsia" w:ascii="仿宋" w:hAnsi="仿宋" w:eastAsia="仿宋" w:cs="仿宋"/>
          <w:sz w:val="33"/>
          <w:szCs w:val="33"/>
          <w:lang w:eastAsia="zh-CN"/>
        </w:rPr>
        <w:t>，</w:t>
      </w:r>
      <w:r>
        <w:rPr>
          <w:rFonts w:hint="eastAsia" w:ascii="仿宋" w:hAnsi="仿宋" w:eastAsia="仿宋" w:cs="仿宋"/>
          <w:color w:val="auto"/>
          <w:sz w:val="32"/>
          <w:szCs w:val="32"/>
          <w:lang w:val="en-US" w:eastAsia="zh-CN"/>
        </w:rPr>
        <w:t>认证评审费不予退还。</w:t>
      </w:r>
    </w:p>
    <w:p>
      <w:pPr>
        <w:keepNext w:val="0"/>
        <w:keepLines w:val="0"/>
        <w:pageBreakBefore w:val="0"/>
        <w:kinsoku/>
        <w:wordWrap/>
        <w:overflowPunct/>
        <w:topLinePunct w:val="0"/>
        <w:autoSpaceDE/>
        <w:autoSpaceDN/>
        <w:bidi w:val="0"/>
        <w:adjustRightInd/>
        <w:spacing w:line="576" w:lineRule="exact"/>
        <w:ind w:firstLine="660" w:firstLineChars="200"/>
        <w:textAlignment w:val="auto"/>
        <w:rPr>
          <w:rFonts w:hint="eastAsia" w:ascii="黑体" w:hAnsi="黑体" w:eastAsia="黑体" w:cs="黑体"/>
          <w:sz w:val="33"/>
          <w:szCs w:val="33"/>
        </w:rPr>
      </w:pPr>
      <w:r>
        <w:rPr>
          <w:rFonts w:hint="eastAsia" w:ascii="黑体" w:hAnsi="黑体" w:eastAsia="黑体" w:cs="黑体"/>
          <w:sz w:val="33"/>
          <w:szCs w:val="33"/>
        </w:rPr>
        <w:t>第十条 修订及解释</w:t>
      </w:r>
    </w:p>
    <w:p>
      <w:pPr>
        <w:keepNext w:val="0"/>
        <w:keepLines w:val="0"/>
        <w:pageBreakBefore w:val="0"/>
        <w:kinsoku/>
        <w:wordWrap/>
        <w:overflowPunct/>
        <w:topLinePunct w:val="0"/>
        <w:autoSpaceDE/>
        <w:autoSpaceDN/>
        <w:bidi w:val="0"/>
        <w:adjustRightInd/>
        <w:spacing w:line="576" w:lineRule="exact"/>
        <w:ind w:firstLine="640" w:firstLineChars="200"/>
        <w:textAlignment w:val="auto"/>
        <w:rPr>
          <w:rFonts w:ascii="仿宋_GB2312" w:eastAsia="仿宋_GB2312"/>
          <w:sz w:val="33"/>
          <w:szCs w:val="33"/>
        </w:rPr>
      </w:pPr>
      <w:r>
        <w:rPr>
          <w:rFonts w:hint="eastAsia" w:ascii="仿宋" w:hAnsi="仿宋" w:eastAsia="仿宋" w:cs="仿宋"/>
          <w:sz w:val="32"/>
          <w:szCs w:val="32"/>
        </w:rPr>
        <w:t>本《细则》须经中国青少年科技辅导员协会审议通过，自公布之日起试行，</w:t>
      </w:r>
      <w:r>
        <w:rPr>
          <w:rFonts w:hint="eastAsia" w:ascii="仿宋" w:hAnsi="仿宋" w:eastAsia="仿宋" w:cs="仿宋"/>
          <w:sz w:val="33"/>
          <w:szCs w:val="33"/>
        </w:rPr>
        <w:t>由吉林省青少年科技教育协会秘书处负责解释。中级辅导员认证细则由认证单位制定，并经中国青少年科技辅导员协会审核后实施。</w:t>
      </w:r>
    </w:p>
    <w:p>
      <w:pPr>
        <w:spacing w:line="576" w:lineRule="exact"/>
        <w:ind w:firstLine="660" w:firstLineChars="200"/>
        <w:rPr>
          <w:rFonts w:ascii="仿宋_GB2312" w:eastAsia="仿宋_GB2312"/>
          <w:sz w:val="33"/>
          <w:szCs w:val="33"/>
        </w:rPr>
      </w:pPr>
    </w:p>
    <w:sectPr>
      <w:headerReference r:id="rId3" w:type="default"/>
      <w:footerReference r:id="rId4" w:type="default"/>
      <w:pgSz w:w="11906" w:h="16838"/>
      <w:pgMar w:top="1871" w:right="1474" w:bottom="1701" w:left="1588" w:header="851" w:footer="1474"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rPr>
        <w:sz w:val="28"/>
      </w:rPr>
    </w:pPr>
    <w:r>
      <w:rPr>
        <w:rStyle w:val="9"/>
        <w:sz w:val="28"/>
      </w:rPr>
      <w:t xml:space="preserve">— </w:t>
    </w:r>
    <w:r>
      <w:rPr>
        <w:rStyle w:val="9"/>
        <w:sz w:val="28"/>
      </w:rPr>
      <w:fldChar w:fldCharType="begin"/>
    </w:r>
    <w:r>
      <w:rPr>
        <w:rStyle w:val="9"/>
        <w:sz w:val="28"/>
      </w:rPr>
      <w:instrText xml:space="preserve"> PAGE  </w:instrText>
    </w:r>
    <w:r>
      <w:rPr>
        <w:rStyle w:val="9"/>
        <w:sz w:val="28"/>
      </w:rPr>
      <w:fldChar w:fldCharType="separate"/>
    </w:r>
    <w:r>
      <w:rPr>
        <w:rStyle w:val="9"/>
        <w:sz w:val="28"/>
      </w:rPr>
      <w:t>8</w:t>
    </w:r>
    <w:r>
      <w:rPr>
        <w:rStyle w:val="9"/>
        <w:sz w:val="28"/>
      </w:rPr>
      <w:fldChar w:fldCharType="end"/>
    </w:r>
    <w:r>
      <w:rPr>
        <w:rStyle w:val="9"/>
        <w:sz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HorizontalSpacing w:val="105"/>
  <w:drawingGridVerticalSpacing w:val="579"/>
  <w:displayHorizont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C99"/>
    <w:rsid w:val="00007935"/>
    <w:rsid w:val="000115D8"/>
    <w:rsid w:val="00020E30"/>
    <w:rsid w:val="0002223F"/>
    <w:rsid w:val="00032D95"/>
    <w:rsid w:val="00034FAA"/>
    <w:rsid w:val="0003555A"/>
    <w:rsid w:val="0004054F"/>
    <w:rsid w:val="000413EB"/>
    <w:rsid w:val="0004205D"/>
    <w:rsid w:val="000422F2"/>
    <w:rsid w:val="00054A9E"/>
    <w:rsid w:val="0005689B"/>
    <w:rsid w:val="0006033C"/>
    <w:rsid w:val="000611FD"/>
    <w:rsid w:val="000618FF"/>
    <w:rsid w:val="000679A1"/>
    <w:rsid w:val="000700CC"/>
    <w:rsid w:val="00072DDE"/>
    <w:rsid w:val="00073047"/>
    <w:rsid w:val="000733F2"/>
    <w:rsid w:val="00077947"/>
    <w:rsid w:val="000825B4"/>
    <w:rsid w:val="00091D6E"/>
    <w:rsid w:val="00094192"/>
    <w:rsid w:val="000946BE"/>
    <w:rsid w:val="000A2F9A"/>
    <w:rsid w:val="000A6FC8"/>
    <w:rsid w:val="000C1290"/>
    <w:rsid w:val="000C390A"/>
    <w:rsid w:val="000C6ECD"/>
    <w:rsid w:val="000E6E2A"/>
    <w:rsid w:val="000F3466"/>
    <w:rsid w:val="000F6819"/>
    <w:rsid w:val="000F77F3"/>
    <w:rsid w:val="00103C39"/>
    <w:rsid w:val="00110BD4"/>
    <w:rsid w:val="00115A85"/>
    <w:rsid w:val="00116FCF"/>
    <w:rsid w:val="00132F64"/>
    <w:rsid w:val="001375CB"/>
    <w:rsid w:val="001401D0"/>
    <w:rsid w:val="00155540"/>
    <w:rsid w:val="00172A27"/>
    <w:rsid w:val="00177B7F"/>
    <w:rsid w:val="00186ED4"/>
    <w:rsid w:val="00195863"/>
    <w:rsid w:val="00196710"/>
    <w:rsid w:val="001B25F2"/>
    <w:rsid w:val="001D55B4"/>
    <w:rsid w:val="001D7172"/>
    <w:rsid w:val="001F105F"/>
    <w:rsid w:val="001F4920"/>
    <w:rsid w:val="001F6D1C"/>
    <w:rsid w:val="002071FB"/>
    <w:rsid w:val="00212818"/>
    <w:rsid w:val="00213273"/>
    <w:rsid w:val="00222A04"/>
    <w:rsid w:val="0022793E"/>
    <w:rsid w:val="0024019D"/>
    <w:rsid w:val="00245EFA"/>
    <w:rsid w:val="00246E14"/>
    <w:rsid w:val="00251321"/>
    <w:rsid w:val="0025592C"/>
    <w:rsid w:val="002620A6"/>
    <w:rsid w:val="00266253"/>
    <w:rsid w:val="0026715B"/>
    <w:rsid w:val="00267817"/>
    <w:rsid w:val="00267F2A"/>
    <w:rsid w:val="002722BB"/>
    <w:rsid w:val="0027520D"/>
    <w:rsid w:val="00283529"/>
    <w:rsid w:val="00286135"/>
    <w:rsid w:val="002A2B21"/>
    <w:rsid w:val="002A2DB2"/>
    <w:rsid w:val="002A599A"/>
    <w:rsid w:val="002B0F80"/>
    <w:rsid w:val="002B1C08"/>
    <w:rsid w:val="002B2F28"/>
    <w:rsid w:val="002B6B66"/>
    <w:rsid w:val="002C18AC"/>
    <w:rsid w:val="002E0C0C"/>
    <w:rsid w:val="002E688F"/>
    <w:rsid w:val="002F0059"/>
    <w:rsid w:val="002F1816"/>
    <w:rsid w:val="002F4D26"/>
    <w:rsid w:val="00302ABA"/>
    <w:rsid w:val="003051AE"/>
    <w:rsid w:val="00313166"/>
    <w:rsid w:val="003221C0"/>
    <w:rsid w:val="00323814"/>
    <w:rsid w:val="00324A79"/>
    <w:rsid w:val="00327EAB"/>
    <w:rsid w:val="00367B07"/>
    <w:rsid w:val="003718B0"/>
    <w:rsid w:val="00375133"/>
    <w:rsid w:val="003758CE"/>
    <w:rsid w:val="00376C8F"/>
    <w:rsid w:val="00381290"/>
    <w:rsid w:val="0038178B"/>
    <w:rsid w:val="00385687"/>
    <w:rsid w:val="00390483"/>
    <w:rsid w:val="0039281F"/>
    <w:rsid w:val="00392A8D"/>
    <w:rsid w:val="003A21D5"/>
    <w:rsid w:val="003A22DF"/>
    <w:rsid w:val="003E275B"/>
    <w:rsid w:val="003E45DE"/>
    <w:rsid w:val="003F2389"/>
    <w:rsid w:val="0040086A"/>
    <w:rsid w:val="00406368"/>
    <w:rsid w:val="00421C30"/>
    <w:rsid w:val="004230D6"/>
    <w:rsid w:val="00426A1F"/>
    <w:rsid w:val="00426A6B"/>
    <w:rsid w:val="00426CB8"/>
    <w:rsid w:val="00433D93"/>
    <w:rsid w:val="00463ABA"/>
    <w:rsid w:val="00467906"/>
    <w:rsid w:val="004701A5"/>
    <w:rsid w:val="00470806"/>
    <w:rsid w:val="00476BC1"/>
    <w:rsid w:val="00484656"/>
    <w:rsid w:val="00487BF0"/>
    <w:rsid w:val="00491918"/>
    <w:rsid w:val="004958C1"/>
    <w:rsid w:val="00496D63"/>
    <w:rsid w:val="00497D8E"/>
    <w:rsid w:val="004A51F0"/>
    <w:rsid w:val="004B549E"/>
    <w:rsid w:val="004B7B3F"/>
    <w:rsid w:val="004D4ACC"/>
    <w:rsid w:val="004E0408"/>
    <w:rsid w:val="004E1DF8"/>
    <w:rsid w:val="004E26C1"/>
    <w:rsid w:val="004E2BDF"/>
    <w:rsid w:val="004E3810"/>
    <w:rsid w:val="004F6B27"/>
    <w:rsid w:val="004F6F0B"/>
    <w:rsid w:val="004F73BD"/>
    <w:rsid w:val="00500A5F"/>
    <w:rsid w:val="005117A1"/>
    <w:rsid w:val="005147A4"/>
    <w:rsid w:val="00524794"/>
    <w:rsid w:val="00524CFF"/>
    <w:rsid w:val="005303E9"/>
    <w:rsid w:val="00535B95"/>
    <w:rsid w:val="00540AE4"/>
    <w:rsid w:val="005433EF"/>
    <w:rsid w:val="0055205A"/>
    <w:rsid w:val="00560A88"/>
    <w:rsid w:val="00566A82"/>
    <w:rsid w:val="00567BF4"/>
    <w:rsid w:val="00581F00"/>
    <w:rsid w:val="005911AB"/>
    <w:rsid w:val="005935C2"/>
    <w:rsid w:val="005975A2"/>
    <w:rsid w:val="005A103C"/>
    <w:rsid w:val="005B4684"/>
    <w:rsid w:val="005C20B5"/>
    <w:rsid w:val="005C2AE4"/>
    <w:rsid w:val="005C68FC"/>
    <w:rsid w:val="005D3A3C"/>
    <w:rsid w:val="005E72A9"/>
    <w:rsid w:val="005F25F4"/>
    <w:rsid w:val="005F6897"/>
    <w:rsid w:val="0060766E"/>
    <w:rsid w:val="006102C5"/>
    <w:rsid w:val="00616716"/>
    <w:rsid w:val="0062111A"/>
    <w:rsid w:val="00622305"/>
    <w:rsid w:val="00625D31"/>
    <w:rsid w:val="00627F32"/>
    <w:rsid w:val="006309E9"/>
    <w:rsid w:val="00643C3B"/>
    <w:rsid w:val="00650350"/>
    <w:rsid w:val="00651B0E"/>
    <w:rsid w:val="006524DF"/>
    <w:rsid w:val="00656560"/>
    <w:rsid w:val="00663B88"/>
    <w:rsid w:val="00664284"/>
    <w:rsid w:val="00664F57"/>
    <w:rsid w:val="00686C38"/>
    <w:rsid w:val="00687CC5"/>
    <w:rsid w:val="006975A4"/>
    <w:rsid w:val="006A5DAD"/>
    <w:rsid w:val="006A77D4"/>
    <w:rsid w:val="006B1BC3"/>
    <w:rsid w:val="006C37BF"/>
    <w:rsid w:val="006C3DC0"/>
    <w:rsid w:val="006C6067"/>
    <w:rsid w:val="006C70E3"/>
    <w:rsid w:val="006D06BA"/>
    <w:rsid w:val="006E4F63"/>
    <w:rsid w:val="006E6C67"/>
    <w:rsid w:val="006E75AF"/>
    <w:rsid w:val="006F4AB2"/>
    <w:rsid w:val="00730665"/>
    <w:rsid w:val="00733C66"/>
    <w:rsid w:val="007455F3"/>
    <w:rsid w:val="007520AE"/>
    <w:rsid w:val="00764CDC"/>
    <w:rsid w:val="00765A56"/>
    <w:rsid w:val="00766467"/>
    <w:rsid w:val="00767DBD"/>
    <w:rsid w:val="00773D96"/>
    <w:rsid w:val="007976B7"/>
    <w:rsid w:val="007B195E"/>
    <w:rsid w:val="007B2CCD"/>
    <w:rsid w:val="007B6772"/>
    <w:rsid w:val="007B753A"/>
    <w:rsid w:val="007E3C62"/>
    <w:rsid w:val="008058EF"/>
    <w:rsid w:val="008117ED"/>
    <w:rsid w:val="00824D8C"/>
    <w:rsid w:val="008260A1"/>
    <w:rsid w:val="00835227"/>
    <w:rsid w:val="008446DF"/>
    <w:rsid w:val="008462D0"/>
    <w:rsid w:val="00854299"/>
    <w:rsid w:val="00857B2B"/>
    <w:rsid w:val="0087538C"/>
    <w:rsid w:val="008A46DB"/>
    <w:rsid w:val="008A6B71"/>
    <w:rsid w:val="008C09A0"/>
    <w:rsid w:val="008C4823"/>
    <w:rsid w:val="008C4E4C"/>
    <w:rsid w:val="008D141A"/>
    <w:rsid w:val="008E05D4"/>
    <w:rsid w:val="008E0BB5"/>
    <w:rsid w:val="008E1A11"/>
    <w:rsid w:val="009030EF"/>
    <w:rsid w:val="00933952"/>
    <w:rsid w:val="00957377"/>
    <w:rsid w:val="00957614"/>
    <w:rsid w:val="0097111C"/>
    <w:rsid w:val="00975023"/>
    <w:rsid w:val="00992FED"/>
    <w:rsid w:val="00994E07"/>
    <w:rsid w:val="009B2867"/>
    <w:rsid w:val="009B50BC"/>
    <w:rsid w:val="009B6BFE"/>
    <w:rsid w:val="009B722B"/>
    <w:rsid w:val="009C183F"/>
    <w:rsid w:val="009D611B"/>
    <w:rsid w:val="009E552F"/>
    <w:rsid w:val="009E6AB9"/>
    <w:rsid w:val="00A12D06"/>
    <w:rsid w:val="00A13825"/>
    <w:rsid w:val="00A24B61"/>
    <w:rsid w:val="00A359FD"/>
    <w:rsid w:val="00A36555"/>
    <w:rsid w:val="00A36ABD"/>
    <w:rsid w:val="00A40CB1"/>
    <w:rsid w:val="00A40CFE"/>
    <w:rsid w:val="00A4598D"/>
    <w:rsid w:val="00A731A7"/>
    <w:rsid w:val="00A74522"/>
    <w:rsid w:val="00A84A32"/>
    <w:rsid w:val="00A84BF0"/>
    <w:rsid w:val="00A86FCB"/>
    <w:rsid w:val="00A939B2"/>
    <w:rsid w:val="00A97BBB"/>
    <w:rsid w:val="00AA3775"/>
    <w:rsid w:val="00AA4588"/>
    <w:rsid w:val="00AA5795"/>
    <w:rsid w:val="00AB1357"/>
    <w:rsid w:val="00AB2E0F"/>
    <w:rsid w:val="00AB6F94"/>
    <w:rsid w:val="00AB719F"/>
    <w:rsid w:val="00AC228F"/>
    <w:rsid w:val="00AC24B1"/>
    <w:rsid w:val="00AC58F6"/>
    <w:rsid w:val="00AE1B51"/>
    <w:rsid w:val="00AF5C10"/>
    <w:rsid w:val="00B03CD3"/>
    <w:rsid w:val="00B12D48"/>
    <w:rsid w:val="00B146D2"/>
    <w:rsid w:val="00B14C72"/>
    <w:rsid w:val="00B1590D"/>
    <w:rsid w:val="00B22503"/>
    <w:rsid w:val="00B236EE"/>
    <w:rsid w:val="00B3087A"/>
    <w:rsid w:val="00B34393"/>
    <w:rsid w:val="00B4090D"/>
    <w:rsid w:val="00B41C4D"/>
    <w:rsid w:val="00B4261B"/>
    <w:rsid w:val="00B45580"/>
    <w:rsid w:val="00B562F3"/>
    <w:rsid w:val="00B57972"/>
    <w:rsid w:val="00B617C4"/>
    <w:rsid w:val="00B7476E"/>
    <w:rsid w:val="00B81CDB"/>
    <w:rsid w:val="00B83881"/>
    <w:rsid w:val="00BB1B1E"/>
    <w:rsid w:val="00BE0592"/>
    <w:rsid w:val="00BE0DCF"/>
    <w:rsid w:val="00BE365D"/>
    <w:rsid w:val="00BE6387"/>
    <w:rsid w:val="00BF6A80"/>
    <w:rsid w:val="00C01853"/>
    <w:rsid w:val="00C117CD"/>
    <w:rsid w:val="00C121FA"/>
    <w:rsid w:val="00C13E61"/>
    <w:rsid w:val="00C239FB"/>
    <w:rsid w:val="00C3609F"/>
    <w:rsid w:val="00C368BB"/>
    <w:rsid w:val="00C37441"/>
    <w:rsid w:val="00C45B5A"/>
    <w:rsid w:val="00C52F1D"/>
    <w:rsid w:val="00C54D13"/>
    <w:rsid w:val="00C559F7"/>
    <w:rsid w:val="00C62003"/>
    <w:rsid w:val="00C70A10"/>
    <w:rsid w:val="00C769FA"/>
    <w:rsid w:val="00C7700E"/>
    <w:rsid w:val="00C81867"/>
    <w:rsid w:val="00C82A0B"/>
    <w:rsid w:val="00C87369"/>
    <w:rsid w:val="00C933C1"/>
    <w:rsid w:val="00CA5080"/>
    <w:rsid w:val="00CA536D"/>
    <w:rsid w:val="00CC4B1F"/>
    <w:rsid w:val="00CC6297"/>
    <w:rsid w:val="00CC7003"/>
    <w:rsid w:val="00CD0A64"/>
    <w:rsid w:val="00CD2BC6"/>
    <w:rsid w:val="00CD687D"/>
    <w:rsid w:val="00CE19C7"/>
    <w:rsid w:val="00CE4C2D"/>
    <w:rsid w:val="00CF20F3"/>
    <w:rsid w:val="00D10B46"/>
    <w:rsid w:val="00D12B3E"/>
    <w:rsid w:val="00D16D9E"/>
    <w:rsid w:val="00D16FA3"/>
    <w:rsid w:val="00D224A9"/>
    <w:rsid w:val="00D22CE1"/>
    <w:rsid w:val="00D26E24"/>
    <w:rsid w:val="00D302B9"/>
    <w:rsid w:val="00D329F8"/>
    <w:rsid w:val="00D33DAD"/>
    <w:rsid w:val="00D412C6"/>
    <w:rsid w:val="00D41F75"/>
    <w:rsid w:val="00D46E98"/>
    <w:rsid w:val="00D47FE3"/>
    <w:rsid w:val="00D50FC5"/>
    <w:rsid w:val="00D536E5"/>
    <w:rsid w:val="00D57785"/>
    <w:rsid w:val="00D61C84"/>
    <w:rsid w:val="00D65F41"/>
    <w:rsid w:val="00D67586"/>
    <w:rsid w:val="00D67CC4"/>
    <w:rsid w:val="00D73406"/>
    <w:rsid w:val="00D7663B"/>
    <w:rsid w:val="00D82FBD"/>
    <w:rsid w:val="00D83933"/>
    <w:rsid w:val="00D90129"/>
    <w:rsid w:val="00D93CC1"/>
    <w:rsid w:val="00D96E53"/>
    <w:rsid w:val="00DC0E11"/>
    <w:rsid w:val="00DC744E"/>
    <w:rsid w:val="00DD1F2E"/>
    <w:rsid w:val="00DD485F"/>
    <w:rsid w:val="00DE015F"/>
    <w:rsid w:val="00DE47E9"/>
    <w:rsid w:val="00DE6E12"/>
    <w:rsid w:val="00DF29C5"/>
    <w:rsid w:val="00E00A0B"/>
    <w:rsid w:val="00E00A9D"/>
    <w:rsid w:val="00E029FE"/>
    <w:rsid w:val="00E04518"/>
    <w:rsid w:val="00E15547"/>
    <w:rsid w:val="00E17F98"/>
    <w:rsid w:val="00E21E16"/>
    <w:rsid w:val="00E22D47"/>
    <w:rsid w:val="00E24D22"/>
    <w:rsid w:val="00E3312D"/>
    <w:rsid w:val="00E36771"/>
    <w:rsid w:val="00E46A18"/>
    <w:rsid w:val="00E50EA3"/>
    <w:rsid w:val="00E51A96"/>
    <w:rsid w:val="00E5548E"/>
    <w:rsid w:val="00E61C53"/>
    <w:rsid w:val="00E63589"/>
    <w:rsid w:val="00E71D00"/>
    <w:rsid w:val="00E732C7"/>
    <w:rsid w:val="00E73882"/>
    <w:rsid w:val="00E80AFA"/>
    <w:rsid w:val="00E907D3"/>
    <w:rsid w:val="00E97299"/>
    <w:rsid w:val="00E97817"/>
    <w:rsid w:val="00EA4989"/>
    <w:rsid w:val="00EC504B"/>
    <w:rsid w:val="00EE2509"/>
    <w:rsid w:val="00EE745E"/>
    <w:rsid w:val="00EE7BBD"/>
    <w:rsid w:val="00EF55C1"/>
    <w:rsid w:val="00F06C9D"/>
    <w:rsid w:val="00F20A38"/>
    <w:rsid w:val="00F27C19"/>
    <w:rsid w:val="00F45D07"/>
    <w:rsid w:val="00F51E85"/>
    <w:rsid w:val="00F53509"/>
    <w:rsid w:val="00F601D0"/>
    <w:rsid w:val="00F62A21"/>
    <w:rsid w:val="00F70176"/>
    <w:rsid w:val="00F84260"/>
    <w:rsid w:val="00FA3488"/>
    <w:rsid w:val="00FA728A"/>
    <w:rsid w:val="00FB7904"/>
    <w:rsid w:val="00FD3B4B"/>
    <w:rsid w:val="00FE1AB7"/>
    <w:rsid w:val="00FE1E3F"/>
    <w:rsid w:val="00FE5195"/>
    <w:rsid w:val="00FF51B8"/>
    <w:rsid w:val="03965389"/>
    <w:rsid w:val="052D7048"/>
    <w:rsid w:val="053041BF"/>
    <w:rsid w:val="073F56C2"/>
    <w:rsid w:val="0B65376A"/>
    <w:rsid w:val="0C8A4FAF"/>
    <w:rsid w:val="0E22668E"/>
    <w:rsid w:val="10EA74BD"/>
    <w:rsid w:val="13EA43B9"/>
    <w:rsid w:val="15E77AE1"/>
    <w:rsid w:val="1C477FDF"/>
    <w:rsid w:val="1E1A2AFA"/>
    <w:rsid w:val="207D476D"/>
    <w:rsid w:val="22024C65"/>
    <w:rsid w:val="22123DF5"/>
    <w:rsid w:val="242731D1"/>
    <w:rsid w:val="24BF0FB4"/>
    <w:rsid w:val="25181EF5"/>
    <w:rsid w:val="256E0ACC"/>
    <w:rsid w:val="26096B22"/>
    <w:rsid w:val="26E30496"/>
    <w:rsid w:val="28A33FD3"/>
    <w:rsid w:val="2BC37B91"/>
    <w:rsid w:val="2C9F6195"/>
    <w:rsid w:val="2DE506E3"/>
    <w:rsid w:val="2EF9270C"/>
    <w:rsid w:val="30DB23FC"/>
    <w:rsid w:val="319E6E36"/>
    <w:rsid w:val="3214204A"/>
    <w:rsid w:val="358954D4"/>
    <w:rsid w:val="36AA5CE3"/>
    <w:rsid w:val="372C3782"/>
    <w:rsid w:val="374340EB"/>
    <w:rsid w:val="3A464D36"/>
    <w:rsid w:val="40A65DA1"/>
    <w:rsid w:val="42C676A7"/>
    <w:rsid w:val="4494557E"/>
    <w:rsid w:val="46274322"/>
    <w:rsid w:val="464B508D"/>
    <w:rsid w:val="492862F1"/>
    <w:rsid w:val="4A7A0668"/>
    <w:rsid w:val="4E28757B"/>
    <w:rsid w:val="4F7526A9"/>
    <w:rsid w:val="543243AD"/>
    <w:rsid w:val="551F0F9D"/>
    <w:rsid w:val="57C70406"/>
    <w:rsid w:val="5AD262D3"/>
    <w:rsid w:val="5AD72BB5"/>
    <w:rsid w:val="5CFF5CC2"/>
    <w:rsid w:val="64D278CB"/>
    <w:rsid w:val="669F6355"/>
    <w:rsid w:val="682254C3"/>
    <w:rsid w:val="70603515"/>
    <w:rsid w:val="72426905"/>
    <w:rsid w:val="748B4329"/>
    <w:rsid w:val="75150480"/>
    <w:rsid w:val="7672692B"/>
    <w:rsid w:val="783935F6"/>
    <w:rsid w:val="78CC2F6E"/>
    <w:rsid w:val="79F6123D"/>
    <w:rsid w:val="7A5D3D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iPriority="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rPr>
  </w:style>
  <w:style w:type="paragraph" w:styleId="4">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rFonts w:cs="Times New Roman"/>
      <w:b/>
      <w:bCs/>
    </w:rPr>
  </w:style>
  <w:style w:type="character" w:styleId="9">
    <w:name w:val="page number"/>
    <w:qFormat/>
    <w:uiPriority w:val="99"/>
    <w:rPr>
      <w:rFonts w:cs="Times New Roman"/>
    </w:rPr>
  </w:style>
  <w:style w:type="character" w:styleId="10">
    <w:name w:val="Emphasis"/>
    <w:qFormat/>
    <w:uiPriority w:val="99"/>
    <w:rPr>
      <w:rFonts w:cs="Times New Roman"/>
      <w:color w:val="CC0000"/>
    </w:rPr>
  </w:style>
  <w:style w:type="character" w:styleId="11">
    <w:name w:val="Hyperlink"/>
    <w:qFormat/>
    <w:uiPriority w:val="99"/>
    <w:rPr>
      <w:rFonts w:cs="Times New Roman"/>
      <w:color w:val="0000FF"/>
      <w:u w:val="single"/>
    </w:rPr>
  </w:style>
  <w:style w:type="character" w:customStyle="1" w:styleId="12">
    <w:name w:val="批注框文本 Char"/>
    <w:link w:val="2"/>
    <w:semiHidden/>
    <w:qFormat/>
    <w:locked/>
    <w:uiPriority w:val="99"/>
    <w:rPr>
      <w:rFonts w:cs="Times New Roman"/>
      <w:sz w:val="2"/>
    </w:rPr>
  </w:style>
  <w:style w:type="character" w:customStyle="1" w:styleId="13">
    <w:name w:val="页脚 Char"/>
    <w:link w:val="3"/>
    <w:semiHidden/>
    <w:qFormat/>
    <w:locked/>
    <w:uiPriority w:val="99"/>
    <w:rPr>
      <w:rFonts w:cs="Times New Roman"/>
      <w:sz w:val="18"/>
      <w:szCs w:val="18"/>
    </w:rPr>
  </w:style>
  <w:style w:type="character" w:customStyle="1" w:styleId="14">
    <w:name w:val="页眉 Char"/>
    <w:link w:val="4"/>
    <w:semiHidden/>
    <w:qFormat/>
    <w:locked/>
    <w:uiPriority w:val="99"/>
    <w:rPr>
      <w:rFonts w:cs="Times New Roman"/>
      <w:sz w:val="18"/>
      <w:szCs w:val="18"/>
    </w:rPr>
  </w:style>
  <w:style w:type="paragraph" w:customStyle="1" w:styleId="15">
    <w:name w:val="Char"/>
    <w:basedOn w:val="1"/>
    <w:qFormat/>
    <w:uiPriority w:val="99"/>
    <w:pPr>
      <w:tabs>
        <w:tab w:val="left" w:pos="1360"/>
      </w:tabs>
      <w:ind w:left="1360" w:hanging="720"/>
    </w:pPr>
  </w:style>
  <w:style w:type="character" w:customStyle="1" w:styleId="16">
    <w:name w:val="文件1级"/>
    <w:qFormat/>
    <w:uiPriority w:val="99"/>
  </w:style>
  <w:style w:type="paragraph" w:customStyle="1" w:styleId="17">
    <w:name w:val="文件正文"/>
    <w:basedOn w:val="1"/>
    <w:link w:val="18"/>
    <w:qFormat/>
    <w:uiPriority w:val="99"/>
    <w:pPr>
      <w:widowControl/>
      <w:overflowPunct w:val="0"/>
      <w:autoSpaceDE w:val="0"/>
      <w:autoSpaceDN w:val="0"/>
      <w:adjustRightInd w:val="0"/>
      <w:spacing w:line="580" w:lineRule="exact"/>
      <w:ind w:firstLine="640" w:firstLineChars="200"/>
      <w:textAlignment w:val="baseline"/>
    </w:pPr>
    <w:rPr>
      <w:rFonts w:ascii="仿宋_GB2312" w:hAnsi="宋体" w:eastAsia="仿宋_GB2312"/>
      <w:sz w:val="32"/>
    </w:rPr>
  </w:style>
  <w:style w:type="character" w:customStyle="1" w:styleId="18">
    <w:name w:val="文件正文 Char"/>
    <w:link w:val="17"/>
    <w:qFormat/>
    <w:locked/>
    <w:uiPriority w:val="99"/>
    <w:rPr>
      <w:rFonts w:ascii="仿宋_GB2312" w:hAnsi="宋体" w:eastAsia="仿宋_GB2312"/>
      <w:kern w:val="2"/>
      <w:sz w:val="32"/>
      <w:lang w:val="en-US" w:eastAsia="zh-CN"/>
    </w:rPr>
  </w:style>
  <w:style w:type="character" w:customStyle="1" w:styleId="19">
    <w:name w:val="页码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848</Words>
  <Characters>4834</Characters>
  <Lines>40</Lines>
  <Paragraphs>11</Paragraphs>
  <TotalTime>0</TotalTime>
  <ScaleCrop>false</ScaleCrop>
  <LinksUpToDate>false</LinksUpToDate>
  <CharactersWithSpaces>5671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2019-06-25T02:38:00Z</dcterms:created>
  <dc:creator>Administrator</dc:creator>
  <cp:lastModifiedBy>吳Lee頭</cp:lastModifiedBy>
  <cp:lastPrinted>2019-07-08T01:54:00Z</cp:lastPrinted>
  <dcterms:modified xsi:type="dcterms:W3CDTF">2021-07-27T09:57:28Z</dcterms:modified>
  <dc:title>吉林省科学技术协会</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E974A777C1DF4650891334163AAC3502</vt:lpwstr>
  </property>
</Properties>
</file>